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C682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spacing w:val="0"/>
          <w:kern w:val="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color w:val="auto"/>
          <w:spacing w:val="0"/>
          <w:kern w:val="0"/>
          <w:sz w:val="36"/>
          <w:szCs w:val="36"/>
          <w:highlight w:val="none"/>
        </w:rPr>
        <w:t>项目计划书</w:t>
      </w:r>
    </w:p>
    <w:p w14:paraId="4D44A5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403DED0E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0A0B2F84"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1FD0CC92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772D49B1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</w:pPr>
      <w:bookmarkStart w:id="4" w:name="_GoBack"/>
      <w:bookmarkEnd w:id="4"/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项目名称：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鱼塘水体环境监测系统</w:t>
      </w:r>
    </w:p>
    <w:p w14:paraId="0C9FEF0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项目单位：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"/>
        </w:rPr>
        <w:t>公章）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青岛滨海学院</w:t>
      </w:r>
    </w:p>
    <w:p w14:paraId="18E84122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联 系 人：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刘嘉希</w:t>
      </w:r>
    </w:p>
    <w:p w14:paraId="675E369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default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>联系电话：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17860823192</w:t>
      </w:r>
    </w:p>
    <w:p w14:paraId="35C8CF3A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31F8DC5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3DEF0D94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3ADEF9CC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2278D98E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</w:p>
    <w:p w14:paraId="31DA9783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jc w:val="center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 xml:space="preserve">2025年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t xml:space="preserve"> 月</w:t>
      </w:r>
    </w:p>
    <w:p w14:paraId="2382C9F3"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82EE0C5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left"/>
        <w:outlineLvl w:val="0"/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一、执行摘要</w:t>
      </w:r>
    </w:p>
    <w:tbl>
      <w:tblPr>
        <w:tblStyle w:val="6"/>
        <w:tblW w:w="1057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2665"/>
        <w:gridCol w:w="1898"/>
        <w:gridCol w:w="1127"/>
        <w:gridCol w:w="424"/>
        <w:gridCol w:w="996"/>
        <w:gridCol w:w="1519"/>
      </w:tblGrid>
      <w:tr w14:paraId="6E62C9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057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F5C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项目名称：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none"/>
                <w:lang w:val="en-US" w:eastAsia="zh-CN"/>
              </w:rPr>
              <w:t>鱼塘水体环境监测系统</w:t>
            </w:r>
          </w:p>
        </w:tc>
      </w:tr>
      <w:tr w14:paraId="6B94DA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057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4CE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公司/团队名称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L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o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o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py队</w:t>
            </w:r>
          </w:p>
        </w:tc>
      </w:tr>
      <w:tr w14:paraId="383F7B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B148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注册资金</w:t>
            </w: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FFA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无</w:t>
            </w:r>
          </w:p>
        </w:tc>
      </w:tr>
      <w:tr w14:paraId="7AA5FF1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D01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公司类型</w:t>
            </w: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22EB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□ 有限责任公司  □ 个体工商户  □ 个人独资企业  □ 合伙企业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 xml:space="preserve">  从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 xml:space="preserve"> 其他__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>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____ （打√选择）</w:t>
            </w:r>
          </w:p>
        </w:tc>
      </w:tr>
      <w:tr w14:paraId="6CD8565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3" w:hRule="atLeast"/>
          <w:jc w:val="center"/>
        </w:trPr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32D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产品/服务概况</w:t>
            </w: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77EB314">
            <w:pPr>
              <w:pageBreakBefore w:val="0"/>
              <w:wordWrap/>
              <w:overflowPunct/>
              <w:topLinePunct w:val="0"/>
              <w:bidi w:val="0"/>
              <w:spacing w:line="440" w:lineRule="atLeas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针对传统养鱼过程中依赖人工经验来养殖，过度需要人为的去干预，水环境测量费时费力等痛点，基于ESP32的自动化控制系统，利用物联网技术和智能控制方案，通过传感器数据监测和控制执行器，自动化地调节环境参数，如温度、湿度、水质和水位。系统的核心功能包括实时监控、自动调节、远程控制和数据上传，系统的控制对象涉及进水泵、排水泵、继电器以及其他执行器，旨在提高环境管理的自动化水平，降低人工干预的需求，提高效率和准确性。</w:t>
            </w:r>
          </w:p>
        </w:tc>
      </w:tr>
      <w:tr w14:paraId="468A03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4CF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市场机会</w:t>
            </w: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21D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根据中国渔业协会数据，2019-2023年，中国水产养殖需求保持增长，产业规模由2019年的9762亿元提升至2023年的超13000亿元，同比增长4.49%。未来增长预期稳定：据国家统计局预测，中国水产养殖行业市场规模将以接近5%的增速保持增长，2028年产业规模有望突破17000亿元。需求持续增长：随着居民生活水平提高，膳食结构改善，消费者对水产品的需求量逐年增长，对品质好、价格高的水产品需求也越来越大。消费结构稳定：鱼类水产是中国最主要的水产品，占整体水产的50%以上，其次是贝类产品和甲壳类产品。消费市场拓展：冷链物流技术的快速发展，保障了预制水产品的新鲜度和提升了销售半径，冻鲜冰鲜预制水产品受到餐饮行业等企业和个人消费端的追捧，需求量不断提升。</w:t>
            </w:r>
          </w:p>
        </w:tc>
      </w:tr>
      <w:tr w14:paraId="7A4159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B95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商业模式</w:t>
            </w:r>
          </w:p>
          <w:p w14:paraId="0758F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（盈利模式）</w:t>
            </w: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55778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zh-CN" w:bidi="ar-SA"/>
              </w:rPr>
              <w:t>四种商业模式：</w:t>
            </w:r>
          </w:p>
          <w:p w14:paraId="3F523CAE">
            <w:pPr>
              <w:keepNext/>
              <w:keepLines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beforeLines="50" w:beforeAutospacing="0" w:after="50" w:afterLines="50" w:afterAutospacing="0" w:line="440" w:lineRule="atLeast"/>
              <w:ind w:firstLine="560" w:firstLineChars="200"/>
              <w:jc w:val="both"/>
              <w:textAlignment w:val="baseline"/>
              <w:outlineLvl w:val="9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zh-CN" w:bidi="ar-SA"/>
              </w:rPr>
              <w:t>（1）</w:t>
            </w: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  <w:t>设备销售与服务模式</w:t>
            </w:r>
          </w:p>
          <w:p w14:paraId="0A0F3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盈利方式：通过向养殖户或养殖企业销售鱼塘水体环境监测设备获取收入。同时，为客户提供设备的安装、调试、维护、维修等服务，收取相应的服务费用。</w:t>
            </w:r>
          </w:p>
          <w:p w14:paraId="0172B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客户群体：主要针对有一定规模的养殖户或养殖企业，他们对水质监测有较高的需求，且愿意投资购买先进的监测设备以提高养殖效益。</w:t>
            </w:r>
          </w:p>
          <w:p w14:paraId="2F41B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优势：这种模式的盈利较为直接，设备销售和服务费用可以为企业带来稳定的现金流。同时，通过提供优质的产品和服务，可以树立良好的品牌形象，增强市场竞争力。</w:t>
            </w:r>
          </w:p>
          <w:p w14:paraId="25BCBC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挑战：需要投入大量的研发和生产成本来保证设备的性能和质量。此外，还需要建立完善的售后服务体系，及时响应客户需求，解决设备使用过程中出现的问题。</w:t>
            </w:r>
          </w:p>
          <w:p w14:paraId="559120AE">
            <w:pPr>
              <w:keepNext/>
              <w:keepLines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beforeLines="50" w:beforeAutospacing="0" w:after="50" w:afterLines="50" w:afterAutospacing="0" w:line="440" w:lineRule="atLeast"/>
              <w:ind w:firstLine="560" w:firstLineChars="200"/>
              <w:jc w:val="both"/>
              <w:textAlignment w:val="baseline"/>
              <w:outlineLvl w:val="9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zh-CN" w:bidi="ar-SA"/>
              </w:rPr>
              <w:t>（2）</w:t>
            </w: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  <w:t>数据服务模式</w:t>
            </w:r>
          </w:p>
          <w:p w14:paraId="57A91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盈利方式：利用监测系统收集到的大量水质数据，进行深度分析和挖掘，为养殖户提供有价值的养殖建议和决策支持，收取数据服务费用。</w:t>
            </w:r>
          </w:p>
          <w:p w14:paraId="66CA09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客户群体：适用于对养殖精度要求较高的大型养殖企业或专业合作社。这些客户通常具有较强的数据分析能力和需求，能够充分利用数据服务来优化养殖管理。</w:t>
            </w:r>
          </w:p>
          <w:p w14:paraId="76BD9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优势：数据作为一种重要的生产要素，具有很高的价值。通过数据服务，可以帮助养殖户提前预测水质变化趋势，及时采取措施预防疾病和灾害，提高养殖产量和质量。</w:t>
            </w:r>
          </w:p>
          <w:p w14:paraId="6B1B31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挑战：需要具备强大的数据分析和处理能力，以及专业的水产养殖知识，才能提供准确、有用的数据服务。同时，还需要确保数据的安全性和隐私性，防止数据泄露。</w:t>
            </w:r>
          </w:p>
          <w:p w14:paraId="307ED2D0">
            <w:pPr>
              <w:keepNext/>
              <w:keepLines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beforeLines="50" w:beforeAutospacing="0" w:after="50" w:afterLines="50" w:afterAutospacing="0" w:line="440" w:lineRule="atLeast"/>
              <w:ind w:firstLine="560" w:firstLineChars="200"/>
              <w:jc w:val="both"/>
              <w:textAlignment w:val="baseline"/>
              <w:outlineLvl w:val="9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zh-CN" w:bidi="ar-SA"/>
              </w:rPr>
              <w:t>（3）</w:t>
            </w: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  <w:t>平台化运营模式</w:t>
            </w:r>
          </w:p>
          <w:p w14:paraId="41BDA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盈利方式：构建一个集设备管理、数据监测、信息发布、交易撮合等功能于一体的水产养殖综合服务平台。通过吸引养殖户、设备供应商、饲料企业、科研机构等多方参与，实现资源的整合与共享，收取平台使用费、交易佣金等费用。</w:t>
            </w:r>
          </w:p>
          <w:p w14:paraId="73E7A11E">
            <w:pPr>
              <w:keepNext/>
              <w:keepLines/>
              <w:pageBreakBefore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beforeLines="50" w:beforeAutospacing="0" w:after="50" w:afterLines="50" w:afterAutospacing="0" w:line="440" w:lineRule="atLeast"/>
              <w:ind w:firstLine="560" w:firstLineChars="200"/>
              <w:jc w:val="both"/>
              <w:textAlignment w:val="baseline"/>
              <w:outlineLvl w:val="9"/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zh-CN" w:bidi="ar-SA"/>
              </w:rPr>
              <w:t>（4）</w:t>
            </w:r>
            <w:r>
              <w:rPr>
                <w:rFonts w:hint="eastAsia" w:ascii="仿宋" w:hAnsi="仿宋" w:eastAsia="仿宋" w:cs="仿宋"/>
                <w:b w:val="0"/>
                <w:bCs/>
                <w:snapToGrid w:val="0"/>
                <w:color w:val="000000"/>
                <w:kern w:val="44"/>
                <w:sz w:val="28"/>
                <w:szCs w:val="28"/>
                <w:rtl w:val="0"/>
                <w:lang w:val="en-US" w:eastAsia="en-US" w:bidi="ar-SA"/>
              </w:rPr>
              <w:t>租赁与共享模式</w:t>
            </w:r>
          </w:p>
          <w:p w14:paraId="6A056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盈利方式：将鱼塘水体环境监测设备以租赁或共享的方式提供给养殖户使用，收取租赁费用。在租赁期间，设备的所有权归企业所有，养殖户只需支付一定的租金即可使用设备。</w:t>
            </w:r>
          </w:p>
          <w:p w14:paraId="574E2B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客户群体：主要针对一些小型养殖户或资金相对紧张的客户群体。他们可能无法一次性支付购买设备的费用，但又需要通过监测设备来提高养殖效益。</w:t>
            </w:r>
          </w:p>
          <w:p w14:paraId="254130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优势：这种模式可以降低养殖户的初期投入成本，使更多的养殖户能够享受到先进监测技术带来的好处。同时，企业也可以通过设备的循环租赁，提高设备的利用率，增加收益。</w:t>
            </w:r>
          </w:p>
          <w:p w14:paraId="5FEF6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挑战：需要建立完善的设备租赁管理体系，包括设备的投放、回收、维护等环节。此外，还需要加强对租赁设备的监控和管理，防止设备被滥用或损坏。</w:t>
            </w:r>
          </w:p>
        </w:tc>
      </w:tr>
      <w:tr w14:paraId="2D62805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333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投资额（元）</w:t>
            </w:r>
          </w:p>
        </w:tc>
        <w:tc>
          <w:tcPr>
            <w:tcW w:w="2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5F0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200万</w:t>
            </w:r>
          </w:p>
        </w:tc>
        <w:tc>
          <w:tcPr>
            <w:tcW w:w="344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444C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投资收益率（第一年）</w:t>
            </w:r>
          </w:p>
        </w:tc>
        <w:tc>
          <w:tcPr>
            <w:tcW w:w="25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D898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1400" w:firstLineChars="50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29.6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%</w:t>
            </w:r>
          </w:p>
        </w:tc>
      </w:tr>
      <w:tr w14:paraId="48272E9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A1064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预期净利润（税后利润）</w:t>
            </w:r>
          </w:p>
        </w:tc>
        <w:tc>
          <w:tcPr>
            <w:tcW w:w="26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650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第一年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14.47万</w:t>
            </w:r>
          </w:p>
        </w:tc>
        <w:tc>
          <w:tcPr>
            <w:tcW w:w="302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AB3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第二年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155.2万</w:t>
            </w:r>
          </w:p>
        </w:tc>
        <w:tc>
          <w:tcPr>
            <w:tcW w:w="293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8CB0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第三年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377.5万</w:t>
            </w:r>
          </w:p>
        </w:tc>
      </w:tr>
      <w:tr w14:paraId="6D4508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C6F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26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B2AB5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18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D65E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年增长率</w:t>
            </w:r>
          </w:p>
        </w:tc>
        <w:tc>
          <w:tcPr>
            <w:tcW w:w="11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647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162.2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%</w:t>
            </w:r>
          </w:p>
        </w:tc>
        <w:tc>
          <w:tcPr>
            <w:tcW w:w="14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FB8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年增长率</w:t>
            </w:r>
          </w:p>
        </w:tc>
        <w:tc>
          <w:tcPr>
            <w:tcW w:w="15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FCB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143.2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%</w:t>
            </w:r>
          </w:p>
        </w:tc>
      </w:tr>
      <w:tr w14:paraId="5DAF72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19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8D3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备  注</w:t>
            </w: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D24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投资收益率＝净利润÷总投资额×100%</w:t>
            </w:r>
          </w:p>
        </w:tc>
      </w:tr>
      <w:tr w14:paraId="741FBB5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70DA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3E55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预期净利润－第一年：见经营第一年利润表</w:t>
            </w:r>
          </w:p>
        </w:tc>
      </w:tr>
      <w:tr w14:paraId="190FAA6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9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B0C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862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96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此表中“总投资额”项的金额等于资金需求合计</w:t>
            </w:r>
          </w:p>
        </w:tc>
      </w:tr>
    </w:tbl>
    <w:p w14:paraId="7BB8C0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二、产品/服务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介绍</w:t>
      </w: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7626"/>
      </w:tblGrid>
      <w:tr w14:paraId="3CF466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FE8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产品/服务技术</w:t>
            </w:r>
          </w:p>
        </w:tc>
        <w:tc>
          <w:tcPr>
            <w:tcW w:w="7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8B34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水环境调节模块（继电器控制设备）功能描述：</w:t>
            </w:r>
          </w:p>
          <w:p w14:paraId="287633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设备自动调节：根据水质监测传感器的数据（如温度过低自动加热，PH值过高或过低控制进出水泵等），继电器控制充氧泵、进水泵、出水泵、加热棒等设备，确保水质环境保持在设定的标准范围内。</w:t>
            </w:r>
          </w:p>
          <w:p w14:paraId="1B0217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设备手动控制：在手动模式下，管理员可通过Web页面手动控制继电器模块，调整设备工作状态。</w:t>
            </w:r>
          </w:p>
          <w:p w14:paraId="27E4FB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Web界面功能描述：</w:t>
            </w:r>
          </w:p>
          <w:p w14:paraId="001F5E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实时监控与显示：Web页面展示实时水质数据，用户可以通过Web页面查看温度、PH值、浑浊度等数据，以及水面到传感器的距离。</w:t>
            </w:r>
          </w:p>
          <w:p w14:paraId="2F75B8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阈值设置与调节：用户可以设置各项水质的阈值，并通过Web页面调整阈值，使系统能够根据不同需求调整水质环境。</w:t>
            </w:r>
          </w:p>
          <w:p w14:paraId="62D571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报警提示：当传感器数据超过设定阈值时，Web页面会显示红色过高过低的红色提醒文字，提醒管理员及时调整。</w:t>
            </w:r>
          </w:p>
          <w:p w14:paraId="632C81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left="0"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历史数据查看：Web页面支持历史数据的查询，用户可以查看过去的水质数据，并进行分析。</w:t>
            </w:r>
          </w:p>
          <w:p w14:paraId="5DAA88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MQTT协议（数据传输模块）功能描述：</w:t>
            </w:r>
          </w:p>
          <w:p w14:paraId="3B8FFB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数据传输：通过MQTT协议，将传感器数据传输到Web服务器，确保数据能够高效、稳定地传递到管理平台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</w:tc>
      </w:tr>
      <w:tr w14:paraId="3E9B04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8A1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产品/服务图片</w:t>
            </w:r>
          </w:p>
        </w:tc>
        <w:tc>
          <w:tcPr>
            <w:tcW w:w="7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74417">
            <w:pPr>
              <w:pageBreakBefore w:val="0"/>
              <w:wordWrap/>
              <w:overflowPunct/>
              <w:topLinePunct w:val="0"/>
              <w:bidi w:val="0"/>
              <w:spacing w:line="440" w:lineRule="atLeast"/>
              <w:ind w:firstLine="560" w:firstLineChars="20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针对传统养鱼过程中依赖人工经验来养殖，过度需要人为的去干预，水环境测量费时费力等痛点，设计并实现一个基于ESP32的自动化控制系统，利用物联网技术和智能控制方案，通过传感器数据监测和控制执行器，自动化地调节环境参数，如温度、湿度、水质和水位。系统的核心功能包括实时监控、自动调节、远程控制和数据上传，系统的控制对象涉及进水泵、排水泵、继电器以及其他执行器，旨在提高环境管理的自动化水平，降低人工干预的需求，提高效率和准确性。</w:t>
            </w:r>
          </w:p>
        </w:tc>
      </w:tr>
      <w:tr w14:paraId="339524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5B8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产品/服务优势</w:t>
            </w:r>
          </w:p>
        </w:tc>
        <w:tc>
          <w:tcPr>
            <w:tcW w:w="7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E28A7A">
            <w:pPr>
              <w:pageBreakBefore w:val="0"/>
              <w:wordWrap/>
              <w:overflowPunct/>
              <w:topLinePunct w:val="0"/>
              <w:bidi w:val="0"/>
              <w:spacing w:line="440" w:lineRule="atLeast"/>
              <w:ind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系统的核心功能包括实时监控、自动调节、远程控制和数据上传，系统的控制对象涉及进水泵、排水泵、继电器以及其他执行器，旨在提高环境管理的自动化水平，降低人工干预的需求，提高效率和准确性。传感器通过ESP32开发板将采集到的数据通过MQTT协议上传到Web服务器，确保数据实时显示</w:t>
            </w:r>
          </w:p>
          <w:p w14:paraId="5F20FABE">
            <w:pPr>
              <w:pStyle w:val="12"/>
              <w:pageBreakBefore w:val="0"/>
              <w:wordWrap/>
              <w:overflowPunct/>
              <w:topLinePunct w:val="0"/>
              <w:bidi w:val="0"/>
              <w:spacing w:line="440" w:lineRule="atLeast"/>
              <w:ind w:firstLine="48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MQTT协议提供了三种服务质量（QoS）等级，分别为QoS 0（至多一次）、QoS 1（至少一次）和QoS 2（只有一次），使得开发者可以根据具体需求选择合适的传输方式。此外，MQTT协议还具备保留消息和遗嘱消息的特性，进一步增强了消息传递的可靠性。</w:t>
            </w:r>
          </w:p>
          <w:p w14:paraId="63C2E2E3">
            <w:pPr>
              <w:pStyle w:val="12"/>
              <w:pageBreakBefore w:val="0"/>
              <w:wordWrap/>
              <w:overflowPunct/>
              <w:topLinePunct w:val="0"/>
              <w:bidi w:val="0"/>
              <w:spacing w:line="440" w:lineRule="atLeast"/>
              <w:ind w:firstLine="48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在安全性方面，MQTT协议支持用户认证和加密传输，确保数据在传输过程中的安全性。通过访问控制策略，代理可以有效管理客户端的权限，为系统提供了额外的安全保障。</w:t>
            </w:r>
          </w:p>
        </w:tc>
      </w:tr>
    </w:tbl>
    <w:p w14:paraId="750A63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三</w:t>
      </w:r>
      <w:r>
        <w:rPr>
          <w:rFonts w:hint="eastAsia" w:ascii="仿宋" w:hAnsi="仿宋" w:eastAsia="仿宋" w:cs="仿宋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、市场分析</w:t>
      </w:r>
      <w:bookmarkStart w:id="0" w:name="_Toc234146997"/>
    </w:p>
    <w:bookmarkEnd w:id="0"/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7626"/>
      </w:tblGrid>
      <w:tr w14:paraId="17B661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FB0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市场定位</w:t>
            </w:r>
          </w:p>
        </w:tc>
        <w:tc>
          <w:tcPr>
            <w:tcW w:w="7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EF8A74">
            <w:pPr>
              <w:pStyle w:val="12"/>
              <w:pageBreakBefore w:val="0"/>
              <w:wordWrap/>
              <w:overflowPunct/>
              <w:topLinePunct w:val="0"/>
              <w:bidi w:val="0"/>
              <w:spacing w:line="440" w:lineRule="atLeast"/>
              <w:ind w:firstLine="480"/>
              <w:jc w:val="both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主要产品种类：水产养殖的产品种类丰富多样，主要包括鱼类、贝类、甲壳类等。其中，鱼类是最主要的养殖品种，占整体水产养殖的50%以上，其次是贝类和甲壳类。这些产品不仅满足了国内市场的多样化需求，还具有一定的出口潜力。</w:t>
            </w:r>
          </w:p>
          <w:p w14:paraId="6DD13EFB">
            <w:pPr>
              <w:pStyle w:val="12"/>
              <w:pageBreakBefore w:val="0"/>
              <w:wordWrap/>
              <w:overflowPunct/>
              <w:topLinePunct w:val="0"/>
              <w:bidi w:val="0"/>
              <w:spacing w:line="440" w:lineRule="atLeast"/>
              <w:ind w:firstLine="480"/>
              <w:jc w:val="both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品品质与特色：随着消费者对食品安全和品质的要求不断提高，高品质、绿色、健康的水产品成为市场的主要发展方向。例如，有机养殖、生态养殖等模式生产的水产品，因其无污染、口感好、营养价值高等特点，受到消费者的青睐。</w:t>
            </w:r>
          </w:p>
          <w:p w14:paraId="4FCB2E84">
            <w:pPr>
              <w:pStyle w:val="12"/>
              <w:pageBreakBefore w:val="0"/>
              <w:wordWrap/>
              <w:overflowPunct/>
              <w:topLinePunct w:val="0"/>
              <w:bidi w:val="0"/>
              <w:spacing w:line="440" w:lineRule="atLeast"/>
              <w:ind w:firstLine="480"/>
              <w:jc w:val="both"/>
              <w:rPr>
                <w:rFonts w:hint="eastAsia" w:ascii="仿宋" w:hAnsi="仿宋" w:eastAsia="仿宋" w:cs="仿宋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消费群体广泛：水产品作为重要的食品来源，富含蛋白质及各种微量元素，符合人们对健康和饮食的需求，因此其消费群体涵盖了各个年龄段、不同消费层次的人群。从普通的家庭消费者到高端餐饮市场，对水产品都有稳定的需求。</w:t>
            </w:r>
          </w:p>
          <w:p w14:paraId="772460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B端与C端市场并重：水产养殖行业既面向B端企业，如餐饮企业、加工企业等，为其提供原材料；也面向C端消费者，通过零售渠道满足家庭和个人的消费需求。B端市场对水产品的质量和供应稳定性要求较高，而C端市场则更注重产品的品质、安全性和价格合理性。</w:t>
            </w:r>
          </w:p>
        </w:tc>
      </w:tr>
      <w:tr w14:paraId="5C696B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9134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目标客户</w:t>
            </w:r>
          </w:p>
        </w:tc>
        <w:tc>
          <w:tcPr>
            <w:tcW w:w="7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5D1529C">
            <w:pPr>
              <w:pStyle w:val="12"/>
              <w:pageBreakBefore w:val="0"/>
              <w:wordWrap/>
              <w:overflowPunct/>
              <w:topLinePunct w:val="0"/>
              <w:bidi w:val="0"/>
              <w:spacing w:line="440" w:lineRule="atLeast"/>
              <w:ind w:firstLine="480"/>
              <w:jc w:val="both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各个年龄段、不同消费层次的人群。从普通的家庭消费者到高端餐饮市场，对水产品都有稳定的需求。</w:t>
            </w:r>
          </w:p>
        </w:tc>
      </w:tr>
      <w:tr w14:paraId="4890FD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E68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市场预测</w:t>
            </w:r>
          </w:p>
          <w:p w14:paraId="266DE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（市场占有率）</w:t>
            </w:r>
          </w:p>
        </w:tc>
        <w:tc>
          <w:tcPr>
            <w:tcW w:w="7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1DB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根据中国渔业协会数据，2019-2023年，中国水产养殖需求保持增长，产业规模由2019年的9762亿元提升至2023年的超13000亿元，同比增长4.49%。未来增长预期稳定：据国家统计局预测，中国水产养殖行业市场规模将以接近5%的增速保持增长，2028年产业规模有望突破17000亿元。需求持续增长：随着居民生活水平提高，膳食结构改善，消费者对水产品的需求量逐年增长，对品质好、价格高的水产品需求也越来越大。鱼类水产是中国最主要的水产品，占整体水产的50%以上，其次是贝类产品和甲壳类产品。消费市场拓展：冷链物流技术的快速发展，保障了预制水产品的新鲜度和提升了销售半径，冻鲜冰鲜预制水产品受到餐饮行业等企业和个人消费端的追捧，需求量不断提升。</w:t>
            </w:r>
          </w:p>
        </w:tc>
      </w:tr>
    </w:tbl>
    <w:p w14:paraId="1F4C88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28"/>
          <w:szCs w:val="28"/>
          <w:highlight w:val="none"/>
          <w:shd w:val="clear" w:color="auto" w:fill="FFFFFF"/>
        </w:rPr>
      </w:pPr>
      <w:bookmarkStart w:id="1" w:name="_Toc256779581"/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、营销策略</w:t>
      </w: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7607"/>
      </w:tblGrid>
      <w:tr w14:paraId="29D09C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  <w:jc w:val="center"/>
        </w:trPr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071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营销计划</w:t>
            </w:r>
          </w:p>
        </w:tc>
        <w:tc>
          <w:tcPr>
            <w:tcW w:w="76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26EC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线上渠道</w:t>
            </w: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：</w:t>
            </w:r>
          </w:p>
          <w:p w14:paraId="611B26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建立官方电商平台（官网、天猫/京东旗舰店），提供产品详情、技术方案及在线咨询。</w:t>
            </w:r>
          </w:p>
          <w:p w14:paraId="531E4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利用行业垂直平台（如水产养殖论坛、农业科技平台）投放广告，精准触达目标客户。</w:t>
            </w:r>
          </w:p>
          <w:p w14:paraId="5072D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开发微信小程序，提供远程监控、数据分析等增值服务，增强用户粘性。</w:t>
            </w:r>
          </w:p>
          <w:p w14:paraId="69673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线下渠道：</w:t>
            </w:r>
          </w:p>
          <w:p w14:paraId="0C7A9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与水产养殖设备经销商、农资店合作，覆盖区域市场。</w:t>
            </w:r>
          </w:p>
          <w:p w14:paraId="688D5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参加农业展会、水产养殖技术交流会，设立体验展台，直接触达养殖户和合作社。</w:t>
            </w:r>
          </w:p>
          <w:p w14:paraId="5DBEF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针对大型养殖企业，提供定制化解决方案及上门演示服务。</w:t>
            </w:r>
          </w:p>
        </w:tc>
      </w:tr>
      <w:tr w14:paraId="6A2509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  <w:jc w:val="center"/>
        </w:trPr>
        <w:tc>
          <w:tcPr>
            <w:tcW w:w="16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F86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竞争分析</w:t>
            </w:r>
          </w:p>
        </w:tc>
        <w:tc>
          <w:tcPr>
            <w:tcW w:w="76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85E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在鱼塘水体环境监测市场中，本公司主要面临</w:t>
            </w: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的</w:t>
            </w: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竞争者</w:t>
            </w: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en-US" w:eastAsia="zh-CN"/>
              </w:rPr>
              <w:t>是</w:t>
            </w: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：传统水产设备制造商</w:t>
            </w:r>
            <w:r>
              <w:rPr>
                <w:rFonts w:hint="eastAsia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，</w:t>
            </w: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竞争者核心优劣势：</w:t>
            </w:r>
          </w:p>
          <w:p w14:paraId="4ABB6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传统厂商优势在于品牌信任与渠道资源，但技术迭代慢、价格高；</w:t>
            </w:r>
          </w:p>
          <w:p w14:paraId="19404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本公司差异化策略：</w:t>
            </w:r>
          </w:p>
          <w:p w14:paraId="357DD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技术场景化：聚焦高精度传感器+AI预警，提供“监测-控制”闭环服务；</w:t>
            </w:r>
          </w:p>
          <w:p w14:paraId="16A1E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灵活定价：推出租赁模式降低中小客户门槛，定制开发满足大型企业需求；</w:t>
            </w:r>
          </w:p>
          <w:p w14:paraId="23309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服务下沉：联合代理商建立本地化服务站，强化响应速度与技术支持；</w:t>
            </w:r>
          </w:p>
          <w:p w14:paraId="4422E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40" w:lineRule="atLeast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rtl w:val="0"/>
                <w:lang w:val="zh-CN" w:eastAsia="zh-CN"/>
              </w:rPr>
              <w:t>生态绑定：与饲料、动保企业合作，将数据转化为养殖投入品推荐等增值服务。</w:t>
            </w:r>
          </w:p>
        </w:tc>
      </w:tr>
    </w:tbl>
    <w:p w14:paraId="0D5715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五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、管理团队</w:t>
      </w:r>
    </w:p>
    <w:bookmarkEnd w:id="1"/>
    <w:tbl>
      <w:tblPr>
        <w:tblStyle w:val="6"/>
        <w:tblW w:w="9648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56" w:type="dxa"/>
          <w:left w:w="96" w:type="dxa"/>
          <w:bottom w:w="56" w:type="dxa"/>
          <w:right w:w="96" w:type="dxa"/>
        </w:tblCellMar>
      </w:tblPr>
      <w:tblGrid>
        <w:gridCol w:w="1067"/>
        <w:gridCol w:w="867"/>
        <w:gridCol w:w="1321"/>
        <w:gridCol w:w="1704"/>
        <w:gridCol w:w="1351"/>
        <w:gridCol w:w="3338"/>
      </w:tblGrid>
      <w:tr w14:paraId="08CD37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tblHeader/>
          <w:jc w:val="center"/>
        </w:trPr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F4F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姓名</w:t>
            </w:r>
          </w:p>
        </w:tc>
        <w:tc>
          <w:tcPr>
            <w:tcW w:w="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AA0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年龄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416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团队职务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E43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学历及专业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2957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主要工作经历</w:t>
            </w:r>
          </w:p>
        </w:tc>
        <w:tc>
          <w:tcPr>
            <w:tcW w:w="3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BA6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优势专长</w:t>
            </w:r>
          </w:p>
        </w:tc>
      </w:tr>
      <w:tr w14:paraId="30B5EB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8DA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刘嘉希</w:t>
            </w:r>
          </w:p>
        </w:tc>
        <w:tc>
          <w:tcPr>
            <w:tcW w:w="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B48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18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负责人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4F4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本科在读</w:t>
            </w:r>
          </w:p>
          <w:p w14:paraId="2D9A3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物联网工程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3FB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学生</w:t>
            </w:r>
          </w:p>
        </w:tc>
        <w:tc>
          <w:tcPr>
            <w:tcW w:w="3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E1AB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en-US" w:bidi="ar-SA"/>
              </w:rPr>
              <w:t>顾全大局，有领导能力，统筹全局</w:t>
            </w: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zh-CN" w:bidi="ar-SA"/>
              </w:rPr>
              <w:t>，技术应用完善</w:t>
            </w:r>
          </w:p>
        </w:tc>
      </w:tr>
      <w:tr w14:paraId="5AAE730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7D8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赵甜</w:t>
            </w:r>
          </w:p>
        </w:tc>
        <w:tc>
          <w:tcPr>
            <w:tcW w:w="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A34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94D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宣传策划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D2C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本科在读</w:t>
            </w:r>
          </w:p>
          <w:p w14:paraId="0DC060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软件工程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21C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学生</w:t>
            </w:r>
          </w:p>
        </w:tc>
        <w:tc>
          <w:tcPr>
            <w:tcW w:w="3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755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en-US" w:bidi="ar-SA"/>
              </w:rPr>
              <w:t>对财务分析有丰富的经验</w:t>
            </w: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zh-CN" w:bidi="ar-SA"/>
              </w:rPr>
              <w:t>，</w:t>
            </w: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en-US" w:bidi="ar-SA"/>
              </w:rPr>
              <w:t>组织和沟通能力强</w:t>
            </w:r>
          </w:p>
        </w:tc>
      </w:tr>
      <w:tr w14:paraId="7FCF4C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9E8F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贺岩轩</w:t>
            </w:r>
          </w:p>
        </w:tc>
        <w:tc>
          <w:tcPr>
            <w:tcW w:w="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521D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4BA0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市场调研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D1DA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本科在读</w:t>
            </w:r>
          </w:p>
          <w:p w14:paraId="49BB4D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物联网工程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94A5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学生</w:t>
            </w:r>
          </w:p>
        </w:tc>
        <w:tc>
          <w:tcPr>
            <w:tcW w:w="3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6B2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en-US" w:bidi="ar-SA"/>
              </w:rPr>
              <w:t>对系统软硬件有比较全面的了解</w:t>
            </w: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zh-CN" w:bidi="ar-SA"/>
              </w:rPr>
              <w:t>，数据应用能力强</w:t>
            </w:r>
          </w:p>
        </w:tc>
      </w:tr>
      <w:tr w14:paraId="07E1B4C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084D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高馨颖</w:t>
            </w:r>
          </w:p>
        </w:tc>
        <w:tc>
          <w:tcPr>
            <w:tcW w:w="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5CF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8B84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创新设计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9AE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本科在读</w:t>
            </w:r>
          </w:p>
          <w:p w14:paraId="64642D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物联网工程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9CA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学生</w:t>
            </w:r>
          </w:p>
        </w:tc>
        <w:tc>
          <w:tcPr>
            <w:tcW w:w="3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4B8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楷体" w:eastAsia="仿宋_GB2312" w:cs="楷体"/>
                <w:color w:val="000000"/>
                <w:sz w:val="28"/>
                <w:szCs w:val="24"/>
                <w:lang w:val="en-US" w:eastAsia="zh-CN"/>
              </w:rPr>
              <w:t>在生产领域了解生产技能，在财务领域掌握财务技能</w:t>
            </w:r>
          </w:p>
        </w:tc>
      </w:tr>
      <w:tr w14:paraId="0D4696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DCE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田雅妍</w:t>
            </w:r>
          </w:p>
        </w:tc>
        <w:tc>
          <w:tcPr>
            <w:tcW w:w="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C43B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7AC6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财务总监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DE86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本科在读</w:t>
            </w:r>
          </w:p>
          <w:p w14:paraId="4F3DC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物联网工程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407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学生</w:t>
            </w:r>
          </w:p>
        </w:tc>
        <w:tc>
          <w:tcPr>
            <w:tcW w:w="3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278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en-US" w:bidi="ar-SA"/>
              </w:rPr>
              <w:t>善于发现和分析市场规律</w:t>
            </w:r>
          </w:p>
        </w:tc>
      </w:tr>
      <w:tr w14:paraId="6E423F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56" w:type="dxa"/>
            <w:left w:w="96" w:type="dxa"/>
            <w:bottom w:w="56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0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13E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刘瑞琦</w:t>
            </w:r>
          </w:p>
        </w:tc>
        <w:tc>
          <w:tcPr>
            <w:tcW w:w="8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CC9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19</w:t>
            </w:r>
          </w:p>
        </w:tc>
        <w:tc>
          <w:tcPr>
            <w:tcW w:w="13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EBB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运营总监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8317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本科在读</w:t>
            </w:r>
          </w:p>
          <w:p w14:paraId="1E27F9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物联网工程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27D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学生</w:t>
            </w:r>
          </w:p>
        </w:tc>
        <w:tc>
          <w:tcPr>
            <w:tcW w:w="3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AC6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楷体" w:eastAsia="仿宋_GB2312" w:cs="楷体"/>
                <w:snapToGrid w:val="0"/>
                <w:color w:val="000000"/>
                <w:kern w:val="0"/>
                <w:sz w:val="28"/>
                <w:szCs w:val="24"/>
                <w:lang w:val="en-US" w:eastAsia="en-US" w:bidi="ar-SA"/>
              </w:rPr>
              <w:t>组织和沟通能力强</w:t>
            </w:r>
          </w:p>
        </w:tc>
      </w:tr>
    </w:tbl>
    <w:p w14:paraId="2B8FB1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、财务分析报告</w:t>
      </w:r>
      <w:bookmarkStart w:id="2" w:name="_Toc256779598"/>
    </w:p>
    <w:p w14:paraId="5249EF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1.启动资金来源                                              单位：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200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万元</w:t>
      </w:r>
      <w:bookmarkEnd w:id="2"/>
    </w:p>
    <w:tbl>
      <w:tblPr>
        <w:tblStyle w:val="6"/>
        <w:tblW w:w="86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2341"/>
        <w:gridCol w:w="2451"/>
        <w:gridCol w:w="2384"/>
      </w:tblGrid>
      <w:tr w14:paraId="42637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60C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筹资渠道</w:t>
            </w:r>
          </w:p>
        </w:tc>
        <w:tc>
          <w:tcPr>
            <w:tcW w:w="23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9051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资金提供方</w:t>
            </w:r>
          </w:p>
        </w:tc>
        <w:tc>
          <w:tcPr>
            <w:tcW w:w="2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0ACF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金额</w:t>
            </w:r>
          </w:p>
        </w:tc>
        <w:tc>
          <w:tcPr>
            <w:tcW w:w="2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9BA3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占投资总额比例</w:t>
            </w:r>
          </w:p>
        </w:tc>
      </w:tr>
      <w:tr w14:paraId="13D3B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FE4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自有资金</w:t>
            </w:r>
          </w:p>
        </w:tc>
        <w:tc>
          <w:tcPr>
            <w:tcW w:w="23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D7A3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股东</w:t>
            </w:r>
          </w:p>
        </w:tc>
        <w:tc>
          <w:tcPr>
            <w:tcW w:w="2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7D9D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90万</w:t>
            </w:r>
          </w:p>
        </w:tc>
        <w:tc>
          <w:tcPr>
            <w:tcW w:w="2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C03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45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%</w:t>
            </w:r>
          </w:p>
        </w:tc>
      </w:tr>
      <w:tr w14:paraId="27D6E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8591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私人拆借</w:t>
            </w:r>
          </w:p>
        </w:tc>
        <w:tc>
          <w:tcPr>
            <w:tcW w:w="23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52C7B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亲属、朋友</w:t>
            </w:r>
          </w:p>
        </w:tc>
        <w:tc>
          <w:tcPr>
            <w:tcW w:w="2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77578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50万</w:t>
            </w:r>
          </w:p>
        </w:tc>
        <w:tc>
          <w:tcPr>
            <w:tcW w:w="2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F453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%</w:t>
            </w:r>
          </w:p>
        </w:tc>
      </w:tr>
      <w:tr w14:paraId="296D8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3CD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银行贷款</w:t>
            </w:r>
          </w:p>
        </w:tc>
        <w:tc>
          <w:tcPr>
            <w:tcW w:w="23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05AD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银行</w:t>
            </w:r>
          </w:p>
        </w:tc>
        <w:tc>
          <w:tcPr>
            <w:tcW w:w="2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EFCD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60万</w:t>
            </w:r>
          </w:p>
        </w:tc>
        <w:tc>
          <w:tcPr>
            <w:tcW w:w="2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0C05C9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30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%</w:t>
            </w:r>
          </w:p>
        </w:tc>
      </w:tr>
      <w:tr w14:paraId="34BD5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5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938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总计</w:t>
            </w:r>
          </w:p>
        </w:tc>
        <w:tc>
          <w:tcPr>
            <w:tcW w:w="23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3F1D8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--</w:t>
            </w:r>
          </w:p>
        </w:tc>
        <w:tc>
          <w:tcPr>
            <w:tcW w:w="24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46895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200万</w:t>
            </w:r>
          </w:p>
        </w:tc>
        <w:tc>
          <w:tcPr>
            <w:tcW w:w="2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 w14:paraId="1A347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val="en-US" w:eastAsia="zh-CN" w:bidi="ar"/>
              </w:rPr>
              <w:t>100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%</w:t>
            </w:r>
          </w:p>
        </w:tc>
      </w:tr>
    </w:tbl>
    <w:p w14:paraId="013CE7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1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.利润预测                                                   单位：万元</w:t>
      </w:r>
    </w:p>
    <w:tbl>
      <w:tblPr>
        <w:tblStyle w:val="6"/>
        <w:tblW w:w="954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3"/>
        <w:gridCol w:w="2367"/>
        <w:gridCol w:w="1481"/>
        <w:gridCol w:w="1154"/>
        <w:gridCol w:w="1292"/>
      </w:tblGrid>
      <w:tr w14:paraId="20FBB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05F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项  目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5155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2025年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BE2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2026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年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3D8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2027年</w:t>
            </w:r>
          </w:p>
        </w:tc>
      </w:tr>
      <w:tr w14:paraId="5594A7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6B83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一、主营业务收入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148E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140.00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DC0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270.00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A118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620.00</w:t>
            </w:r>
          </w:p>
        </w:tc>
      </w:tr>
      <w:tr w14:paraId="3890812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2C03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加：其他收入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BC45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5.00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403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12.00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29D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22.00</w:t>
            </w:r>
          </w:p>
        </w:tc>
      </w:tr>
      <w:tr w14:paraId="557487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8043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减：主营业务成本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DEA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生产/采购成本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5B4E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21.00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36486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42.00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17E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82.00</w:t>
            </w:r>
          </w:p>
        </w:tc>
      </w:tr>
      <w:tr w14:paraId="08AA523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186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营业税金及附加(按5.5%计算)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F74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7.70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D23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15.51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D10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35.31</w:t>
            </w:r>
          </w:p>
        </w:tc>
      </w:tr>
      <w:tr w14:paraId="1103CC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DBF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变动销售费用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7EAAA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销售提成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F4B0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7.00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BCDE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13.60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4C96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31.00</w:t>
            </w:r>
          </w:p>
        </w:tc>
      </w:tr>
      <w:tr w14:paraId="335625D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4C7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边际贡献率(%)=（主营业务收入-主营业务成本-营业税金-销售提成）/主营业务收入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136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80.69%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3F95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80.28%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EFD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82.40%</w:t>
            </w:r>
          </w:p>
        </w:tc>
      </w:tr>
      <w:tr w14:paraId="062151F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829C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固定销售费用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F0B8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宣传推广费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69FE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15.00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4EAF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22.00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F04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18.00</w:t>
            </w:r>
          </w:p>
        </w:tc>
      </w:tr>
      <w:tr w14:paraId="3F2799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270E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管理费用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E1D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场地租金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DD06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20.00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CDB9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20.00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DE9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20.00</w:t>
            </w:r>
          </w:p>
        </w:tc>
      </w:tr>
      <w:tr w14:paraId="25C808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0CC9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E83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员工薪酬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047D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40.00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74F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75.00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6680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95.00</w:t>
            </w:r>
          </w:p>
        </w:tc>
      </w:tr>
      <w:tr w14:paraId="76840B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CEA1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36A1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办公用品及耗材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A1F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20.00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C57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35.00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E70B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45.00</w:t>
            </w:r>
          </w:p>
        </w:tc>
      </w:tr>
      <w:tr w14:paraId="7BEDE5E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240F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7651B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水、电、交通差旅费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E362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E2B3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8.00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A720E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12.00</w:t>
            </w:r>
          </w:p>
        </w:tc>
      </w:tr>
      <w:tr w14:paraId="1DE9509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EA6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A61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固定资产折旧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12C4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10.00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AD5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10.00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D58A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10.00</w:t>
            </w:r>
          </w:p>
        </w:tc>
      </w:tr>
      <w:tr w14:paraId="6AE174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DB8B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B2D3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其他管理费用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92F82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2.0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86AF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8.00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1D8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12.00</w:t>
            </w:r>
          </w:p>
        </w:tc>
      </w:tr>
      <w:tr w14:paraId="49F4EF7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2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536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财务费用</w:t>
            </w:r>
          </w:p>
        </w:tc>
        <w:tc>
          <w:tcPr>
            <w:tcW w:w="2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8A4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利息支出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B9D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1.00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F298B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2.00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70E5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0.00</w:t>
            </w:r>
          </w:p>
        </w:tc>
      </w:tr>
      <w:tr w14:paraId="0EC738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7B4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二、营业利润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942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19.30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CA6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48.49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532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284.69</w:t>
            </w:r>
          </w:p>
        </w:tc>
      </w:tr>
      <w:tr w14:paraId="20BD503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E3B9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减：所得税费用（按25％计算）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58FD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4.83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9CF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12.12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4B2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71.17</w:t>
            </w:r>
          </w:p>
        </w:tc>
      </w:tr>
      <w:tr w14:paraId="0E2540A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6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0D24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三、净利润</w:t>
            </w:r>
          </w:p>
        </w:tc>
        <w:tc>
          <w:tcPr>
            <w:tcW w:w="1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D69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14.47</w:t>
            </w:r>
          </w:p>
        </w:tc>
        <w:tc>
          <w:tcPr>
            <w:tcW w:w="11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96F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36.37</w:t>
            </w:r>
          </w:p>
        </w:tc>
        <w:tc>
          <w:tcPr>
            <w:tcW w:w="12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0D57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213.52</w:t>
            </w:r>
          </w:p>
        </w:tc>
      </w:tr>
      <w:tr w14:paraId="168B7C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54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B04E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备注：员工薪酬包括企业主薪酬和职工薪酬，本计划书所提到的员工薪酬都符合该条件。</w:t>
            </w:r>
          </w:p>
        </w:tc>
      </w:tr>
    </w:tbl>
    <w:p w14:paraId="5A6FB7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0" w:firstLineChars="0"/>
        <w:jc w:val="left"/>
        <w:textAlignment w:val="auto"/>
        <w:outlineLvl w:val="0"/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28"/>
          <w:szCs w:val="28"/>
          <w:highlight w:val="none"/>
          <w:shd w:val="clear" w:color="auto" w:fill="FFFFFF"/>
        </w:rPr>
      </w:pPr>
      <w:bookmarkStart w:id="3" w:name="_Toc256779600"/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七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、融资需求</w:t>
      </w:r>
    </w:p>
    <w:tbl>
      <w:tblPr>
        <w:tblStyle w:val="6"/>
        <w:tblW w:w="91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3600"/>
        <w:gridCol w:w="290"/>
        <w:gridCol w:w="1860"/>
        <w:gridCol w:w="1671"/>
      </w:tblGrid>
      <w:tr w14:paraId="716B95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38C5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融资需求</w:t>
            </w:r>
          </w:p>
        </w:tc>
        <w:tc>
          <w:tcPr>
            <w:tcW w:w="74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DA7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 xml:space="preserve">当前是否有融资需求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否</w:t>
            </w:r>
          </w:p>
        </w:tc>
      </w:tr>
      <w:tr w14:paraId="5F39A0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1231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74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A76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 xml:space="preserve">计划融资方式：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股权融资     □债券融资</w:t>
            </w:r>
          </w:p>
        </w:tc>
      </w:tr>
      <w:tr w14:paraId="7F3BCD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55A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8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A48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计划融资时间</w:t>
            </w:r>
          </w:p>
        </w:tc>
        <w:tc>
          <w:tcPr>
            <w:tcW w:w="3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30F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计划融资金额</w:t>
            </w:r>
          </w:p>
        </w:tc>
      </w:tr>
      <w:tr w14:paraId="672C83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B04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8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B1F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1120" w:firstLineChars="4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项目成立初期</w:t>
            </w:r>
          </w:p>
        </w:tc>
        <w:tc>
          <w:tcPr>
            <w:tcW w:w="3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9FF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1400" w:firstLineChars="500"/>
              <w:jc w:val="left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110万</w:t>
            </w:r>
          </w:p>
        </w:tc>
      </w:tr>
      <w:tr w14:paraId="13C265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CA1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8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F70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213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</w:tr>
      <w:tr w14:paraId="49DAAC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A70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8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AF2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59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</w:tr>
      <w:tr w14:paraId="4C94B8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5A1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8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37F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6D2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</w:tr>
      <w:tr w14:paraId="1F2A52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5C0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8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EE3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BBA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</w:tr>
      <w:tr w14:paraId="30F43E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055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74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CFA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 xml:space="preserve">是否有融资经历           □是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否</w:t>
            </w:r>
          </w:p>
        </w:tc>
      </w:tr>
      <w:tr w14:paraId="7C347AF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43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4D9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投资人/机构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708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融资金额(万元)</w:t>
            </w: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1D6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融资时间</w:t>
            </w:r>
          </w:p>
        </w:tc>
      </w:tr>
      <w:tr w14:paraId="01E01E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AE99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3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C73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val="en-US" w:eastAsia="zh-CN"/>
              </w:rPr>
              <w:t>无</w:t>
            </w:r>
          </w:p>
        </w:tc>
        <w:tc>
          <w:tcPr>
            <w:tcW w:w="21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411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16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94F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</w:tr>
      <w:tr w14:paraId="193A33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347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74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B72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融资需求</w:t>
            </w:r>
          </w:p>
        </w:tc>
      </w:tr>
      <w:tr w14:paraId="0016A7B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3" w:hRule="atLeast"/>
          <w:jc w:val="center"/>
        </w:trPr>
        <w:tc>
          <w:tcPr>
            <w:tcW w:w="170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101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</w:p>
        </w:tc>
        <w:tc>
          <w:tcPr>
            <w:tcW w:w="74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734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科技咨询□融资担保□应收账款融资□技术/产权转让□金融租赁</w:t>
            </w:r>
          </w:p>
          <w:p w14:paraId="65AC5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□股改和上市咨询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eastAsia="zh-CN" w:bidi="ar"/>
              </w:rPr>
              <w:t>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科技保险□小额贷款□信用贷款□股权质押贷款</w:t>
            </w:r>
          </w:p>
          <w:p w14:paraId="3020E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□知识产权质押贷款□中小企业集合债券发行□并购重组□资产管理</w:t>
            </w:r>
          </w:p>
          <w:p w14:paraId="26231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□其他服务需求_____________（可复选项）  □无融资需求</w:t>
            </w:r>
          </w:p>
        </w:tc>
      </w:tr>
    </w:tbl>
    <w:p w14:paraId="78BE62EF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left"/>
        <w:outlineLvl w:val="0"/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八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、风险分析与对策</w:t>
      </w:r>
      <w:bookmarkEnd w:id="3"/>
    </w:p>
    <w:tbl>
      <w:tblPr>
        <w:tblStyle w:val="6"/>
        <w:tblW w:w="921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45" w:type="dxa"/>
          <w:left w:w="96" w:type="dxa"/>
          <w:bottom w:w="45" w:type="dxa"/>
          <w:right w:w="96" w:type="dxa"/>
        </w:tblCellMar>
      </w:tblPr>
      <w:tblGrid>
        <w:gridCol w:w="1927"/>
        <w:gridCol w:w="2917"/>
        <w:gridCol w:w="4367"/>
      </w:tblGrid>
      <w:tr w14:paraId="4185E64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5EC1E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创业风险</w:t>
            </w:r>
          </w:p>
        </w:tc>
        <w:tc>
          <w:tcPr>
            <w:tcW w:w="29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4D676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分析</w:t>
            </w:r>
          </w:p>
        </w:tc>
        <w:tc>
          <w:tcPr>
            <w:tcW w:w="4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1DB2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对策</w:t>
            </w:r>
          </w:p>
        </w:tc>
      </w:tr>
      <w:tr w14:paraId="66F26E6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F03F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行业风险</w:t>
            </w:r>
          </w:p>
        </w:tc>
        <w:tc>
          <w:tcPr>
            <w:tcW w:w="29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BB5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指行业的生命周期、行业的波动性、行业的集中程度。</w:t>
            </w:r>
          </w:p>
        </w:tc>
        <w:tc>
          <w:tcPr>
            <w:tcW w:w="4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6D6C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1.持续投入技术研发，保持传感器精度、数据算法的领先性，建立技术壁垒；2.打造“监测+养殖咨询+病害预警”一体化服务模式，提升行业附加值，延长行业生命周期；3.早期与区域龙头养殖企业深度合作，形成示范效应，提高市场份额，增强抗行业波动能力。</w:t>
            </w:r>
          </w:p>
        </w:tc>
      </w:tr>
      <w:tr w14:paraId="077B137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647A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政策风险</w:t>
            </w:r>
          </w:p>
        </w:tc>
        <w:tc>
          <w:tcPr>
            <w:tcW w:w="29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9BD5D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指因国家宏观政策（如货币政策、财政政策、行业政策等）发生变化，导致市场价格波动而产生风险。</w:t>
            </w:r>
          </w:p>
        </w:tc>
        <w:tc>
          <w:tcPr>
            <w:tcW w:w="4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3F00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1.设立政策研究小组，密切关注农业农村部、生态环境部等部门的政策动向，提前3-6个月调整市场策略；2.积极申报农业科技项目、环保示范项目，争取政策补贴，降低政策波动对项目收益的影响；3.开发标准化政策适配方案，确保政策变化时能快速调整产品服务，契合新政策要求。</w:t>
            </w:r>
          </w:p>
        </w:tc>
      </w:tr>
      <w:tr w14:paraId="73F202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00A8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市场风险</w:t>
            </w:r>
          </w:p>
        </w:tc>
        <w:tc>
          <w:tcPr>
            <w:tcW w:w="29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1AB6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市场风险涉及的因素有：市场需求量、市场接受时间、市场价格、市场战略等。</w:t>
            </w:r>
          </w:p>
        </w:tc>
        <w:tc>
          <w:tcPr>
            <w:tcW w:w="4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8461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1.开展“免费试点+效果付费”模式，在重点养殖区域选取10家鱼塘免费安装试用3个月，用实际数据（如鱼苗存活率提升、饲料成本下降）证明价值，加速市场接受；2.实施差异化定价，基础监测服务保持合理利润，增值服务（如专家远程诊断）采用溢价策略，规避价格战；3.制定“农村包围城市”市场战略，先覆盖县域中小型养殖户，再向大型养殖集团拓展，稳步扩大市场需求量。</w:t>
            </w:r>
          </w:p>
        </w:tc>
      </w:tr>
      <w:tr w14:paraId="0017C37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45" w:type="dxa"/>
            <w:left w:w="96" w:type="dxa"/>
            <w:bottom w:w="45" w:type="dxa"/>
            <w:right w:w="96" w:type="dxa"/>
          </w:tblCellMar>
        </w:tblPrEx>
        <w:trPr>
          <w:trHeight w:val="0" w:hRule="atLeast"/>
          <w:jc w:val="center"/>
        </w:trPr>
        <w:tc>
          <w:tcPr>
            <w:tcW w:w="1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F1B4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技术风险</w:t>
            </w:r>
          </w:p>
        </w:tc>
        <w:tc>
          <w:tcPr>
            <w:tcW w:w="29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F2A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kern w:val="0"/>
                <w:sz w:val="28"/>
                <w:szCs w:val="28"/>
                <w:highlight w:val="none"/>
                <w:lang w:bidi="ar"/>
              </w:rPr>
              <w:t>指企业产品创新过程中技术不确定性、前景的不确定性、技术效果的不确定性、技术寿命的不确定性。</w:t>
            </w:r>
          </w:p>
        </w:tc>
        <w:tc>
          <w:tcPr>
            <w:tcW w:w="436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1B1E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1.与高校（如水产养殖专业强的农业院校）、科研机构共建联合实验室，共同研发耐腐、高精度的专用传感器，降低技术效果不确定性；2.采用“模块化”技术架构，传感器、数据终端、平台系统可独立升级，延长技术寿命，应对技术迭代；3.投入销售额的15%作为技术研发储备金，用于应对突发技术问题和前沿技术探索，降低技术前景不确定性。</w:t>
            </w:r>
          </w:p>
        </w:tc>
      </w:tr>
    </w:tbl>
    <w:p w14:paraId="038D8470">
      <w:pPr>
        <w:keepNext w:val="0"/>
        <w:keepLines w:val="0"/>
        <w:pageBreakBefore w:val="0"/>
        <w:widowControl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jc w:val="left"/>
        <w:outlineLvl w:val="0"/>
        <w:rPr>
          <w:rFonts w:hint="eastAsia" w:ascii="仿宋_GB2312" w:hAnsi="仿宋_GB2312" w:eastAsia="仿宋_GB2312" w:cs="仿宋_GB2312"/>
          <w:b/>
          <w:bCs/>
          <w:color w:val="auto"/>
          <w:spacing w:val="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九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、企业愿景</w:t>
      </w:r>
    </w:p>
    <w:tbl>
      <w:tblPr>
        <w:tblStyle w:val="6"/>
        <w:tblW w:w="0" w:type="auto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5"/>
      </w:tblGrid>
      <w:tr w14:paraId="4410159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9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656AC017">
            <w:pPr>
              <w:pageBreakBefore w:val="0"/>
              <w:wordWrap/>
              <w:overflowPunct/>
              <w:topLinePunct w:val="0"/>
              <w:bidi w:val="0"/>
              <w:spacing w:line="440" w:lineRule="atLeast"/>
              <w:ind w:firstLine="560" w:firstLineChars="2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0"/>
                <w:sz w:val="28"/>
                <w:szCs w:val="28"/>
                <w:highlight w:val="none"/>
              </w:rPr>
              <w:t>以物联网+水产养殖智能监测为核心，持续突破技术边界，融合高精度传感、云端智能分析与AI决策技术，打造行业领先的“水环境监测-养殖全流程智能化”生态体系。致力于消除水产养殖的环境不确定性，让每一方鱼塘都能实现精准化、无人化管理，助力千万养殖户降本增效；同时推动农业自动化在水产领域的深度落地，成为全球水产智能监测领域的标杆企业，为智慧农业、绿色渔业的发展贡献核心技术力量，最终实现水产养殖行业的数字化革新与可持续发展。</w:t>
            </w:r>
          </w:p>
        </w:tc>
      </w:tr>
    </w:tbl>
    <w:p w14:paraId="6C5A2B31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0"/>
          <w:kern w:val="0"/>
          <w:sz w:val="28"/>
          <w:szCs w:val="28"/>
          <w:highlight w:val="none"/>
          <w:shd w:val="clear" w:color="auto" w:fill="FFFFFF"/>
          <w:lang w:bidi="ar"/>
        </w:rPr>
        <w:t>注：创业（商业）计划书要求表述条理清晰，应避免拖沓冗长，力求简洁、清晰、重点突出、条理分明；专业语言的运用要准确和适度；相关数据科学、详实。</w:t>
      </w:r>
    </w:p>
    <w:p w14:paraId="1457BD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魏碑_GBK">
    <w:altName w:val="宋体"/>
    <w:panose1 w:val="020000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09186B"/>
    <w:multiLevelType w:val="multilevel"/>
    <w:tmpl w:val="E009186B"/>
    <w:lvl w:ilvl="0" w:tentative="0">
      <w:start w:val="1"/>
      <w:numFmt w:val="decimal"/>
      <w:suff w:val="nothing"/>
      <w:lvlText w:val="（%1）"/>
      <w:lvlJc w:val="left"/>
      <w:pPr>
        <w:ind w:left="13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780" w:hanging="440"/>
      </w:pPr>
    </w:lvl>
    <w:lvl w:ilvl="2" w:tentative="0">
      <w:start w:val="1"/>
      <w:numFmt w:val="lowerRoman"/>
      <w:lvlText w:val="%3."/>
      <w:lvlJc w:val="right"/>
      <w:pPr>
        <w:ind w:left="2220" w:hanging="440"/>
      </w:pPr>
    </w:lvl>
    <w:lvl w:ilvl="3" w:tentative="0">
      <w:start w:val="1"/>
      <w:numFmt w:val="decimal"/>
      <w:lvlText w:val="%4."/>
      <w:lvlJc w:val="left"/>
      <w:pPr>
        <w:ind w:left="2660" w:hanging="440"/>
      </w:pPr>
    </w:lvl>
    <w:lvl w:ilvl="4" w:tentative="0">
      <w:start w:val="1"/>
      <w:numFmt w:val="lowerLetter"/>
      <w:lvlText w:val="%5)"/>
      <w:lvlJc w:val="left"/>
      <w:pPr>
        <w:ind w:left="3100" w:hanging="440"/>
      </w:pPr>
    </w:lvl>
    <w:lvl w:ilvl="5" w:tentative="0">
      <w:start w:val="1"/>
      <w:numFmt w:val="lowerRoman"/>
      <w:lvlText w:val="%6."/>
      <w:lvlJc w:val="right"/>
      <w:pPr>
        <w:ind w:left="3540" w:hanging="440"/>
      </w:pPr>
    </w:lvl>
    <w:lvl w:ilvl="6" w:tentative="0">
      <w:start w:val="1"/>
      <w:numFmt w:val="decimal"/>
      <w:lvlText w:val="%7."/>
      <w:lvlJc w:val="left"/>
      <w:pPr>
        <w:ind w:left="3980" w:hanging="440"/>
      </w:pPr>
    </w:lvl>
    <w:lvl w:ilvl="7" w:tentative="0">
      <w:start w:val="1"/>
      <w:numFmt w:val="lowerLetter"/>
      <w:lvlText w:val="%8)"/>
      <w:lvlJc w:val="left"/>
      <w:pPr>
        <w:ind w:left="4420" w:hanging="440"/>
      </w:pPr>
    </w:lvl>
    <w:lvl w:ilvl="8" w:tentative="0">
      <w:start w:val="1"/>
      <w:numFmt w:val="lowerRoman"/>
      <w:lvlText w:val="%9."/>
      <w:lvlJc w:val="right"/>
      <w:pPr>
        <w:ind w:left="4860" w:hanging="440"/>
      </w:pPr>
    </w:lvl>
  </w:abstractNum>
  <w:abstractNum w:abstractNumId="1">
    <w:nsid w:val="E1487180"/>
    <w:multiLevelType w:val="multilevel"/>
    <w:tmpl w:val="E1487180"/>
    <w:lvl w:ilvl="0" w:tentative="0">
      <w:start w:val="1"/>
      <w:numFmt w:val="decimal"/>
      <w:suff w:val="nothing"/>
      <w:lvlText w:val="（%1）"/>
      <w:lvlJc w:val="left"/>
      <w:pPr>
        <w:ind w:left="134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780" w:hanging="440"/>
      </w:pPr>
    </w:lvl>
    <w:lvl w:ilvl="2" w:tentative="0">
      <w:start w:val="1"/>
      <w:numFmt w:val="lowerRoman"/>
      <w:lvlText w:val="%3."/>
      <w:lvlJc w:val="right"/>
      <w:pPr>
        <w:ind w:left="2220" w:hanging="440"/>
      </w:pPr>
    </w:lvl>
    <w:lvl w:ilvl="3" w:tentative="0">
      <w:start w:val="1"/>
      <w:numFmt w:val="decimal"/>
      <w:lvlText w:val="%4."/>
      <w:lvlJc w:val="left"/>
      <w:pPr>
        <w:ind w:left="2660" w:hanging="440"/>
      </w:pPr>
    </w:lvl>
    <w:lvl w:ilvl="4" w:tentative="0">
      <w:start w:val="1"/>
      <w:numFmt w:val="lowerLetter"/>
      <w:lvlText w:val="%5)"/>
      <w:lvlJc w:val="left"/>
      <w:pPr>
        <w:ind w:left="3100" w:hanging="440"/>
      </w:pPr>
    </w:lvl>
    <w:lvl w:ilvl="5" w:tentative="0">
      <w:start w:val="1"/>
      <w:numFmt w:val="lowerRoman"/>
      <w:lvlText w:val="%6."/>
      <w:lvlJc w:val="right"/>
      <w:pPr>
        <w:ind w:left="3540" w:hanging="440"/>
      </w:pPr>
    </w:lvl>
    <w:lvl w:ilvl="6" w:tentative="0">
      <w:start w:val="1"/>
      <w:numFmt w:val="decimal"/>
      <w:lvlText w:val="%7."/>
      <w:lvlJc w:val="left"/>
      <w:pPr>
        <w:ind w:left="3980" w:hanging="440"/>
      </w:pPr>
    </w:lvl>
    <w:lvl w:ilvl="7" w:tentative="0">
      <w:start w:val="1"/>
      <w:numFmt w:val="lowerLetter"/>
      <w:lvlText w:val="%8)"/>
      <w:lvlJc w:val="left"/>
      <w:pPr>
        <w:ind w:left="4420" w:hanging="440"/>
      </w:pPr>
    </w:lvl>
    <w:lvl w:ilvl="8" w:tentative="0">
      <w:start w:val="1"/>
      <w:numFmt w:val="lowerRoman"/>
      <w:lvlText w:val="%9."/>
      <w:lvlJc w:val="right"/>
      <w:pPr>
        <w:ind w:left="48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F57E0"/>
    <w:rsid w:val="027D2815"/>
    <w:rsid w:val="030554A3"/>
    <w:rsid w:val="05140A91"/>
    <w:rsid w:val="05866171"/>
    <w:rsid w:val="0A353485"/>
    <w:rsid w:val="12CE22B1"/>
    <w:rsid w:val="13E722FC"/>
    <w:rsid w:val="14E32971"/>
    <w:rsid w:val="16147967"/>
    <w:rsid w:val="1B1C0382"/>
    <w:rsid w:val="1D1F3D36"/>
    <w:rsid w:val="1DBC4C25"/>
    <w:rsid w:val="1F5562C8"/>
    <w:rsid w:val="21E801FF"/>
    <w:rsid w:val="247F0D58"/>
    <w:rsid w:val="318C7205"/>
    <w:rsid w:val="34820BEA"/>
    <w:rsid w:val="361F609E"/>
    <w:rsid w:val="381B6462"/>
    <w:rsid w:val="38457AC3"/>
    <w:rsid w:val="3ED166DA"/>
    <w:rsid w:val="4A130F41"/>
    <w:rsid w:val="4E7769AD"/>
    <w:rsid w:val="50EC5346"/>
    <w:rsid w:val="59125CEC"/>
    <w:rsid w:val="5E5972D2"/>
    <w:rsid w:val="5F20751D"/>
    <w:rsid w:val="621935C6"/>
    <w:rsid w:val="62C36210"/>
    <w:rsid w:val="65830AEF"/>
    <w:rsid w:val="6A6A7F85"/>
    <w:rsid w:val="6CA57426"/>
    <w:rsid w:val="6D402034"/>
    <w:rsid w:val="770C46D7"/>
    <w:rsid w:val="775D606D"/>
    <w:rsid w:val="79F930CF"/>
    <w:rsid w:val="7CE1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魏碑_GBK" w:cs="方正魏碑_GBK" w:asciiTheme="minorHAnsi" w:hAnsiTheme="minorHAnsi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rFonts w:eastAsia="宋体" w:cs="Times New Roman"/>
      <w:szCs w:val="20"/>
    </w:rPr>
  </w:style>
  <w:style w:type="paragraph" w:styleId="3">
    <w:name w:val="Plain Text"/>
    <w:basedOn w:val="1"/>
    <w:qFormat/>
    <w:uiPriority w:val="0"/>
    <w:rPr>
      <w:rFonts w:ascii="宋体" w:hAnsi="Courier New" w:eastAsia="宋体" w:cs="Times New Roman"/>
      <w:szCs w:val="21"/>
    </w:rPr>
  </w:style>
  <w:style w:type="paragraph" w:styleId="4">
    <w:name w:val="Date"/>
    <w:basedOn w:val="1"/>
    <w:next w:val="1"/>
    <w:qFormat/>
    <w:uiPriority w:val="0"/>
    <w:pPr>
      <w:adjustRightInd w:val="0"/>
      <w:spacing w:line="312" w:lineRule="atLeast"/>
    </w:pPr>
    <w:rPr>
      <w:rFonts w:ascii="仿宋_GB2312" w:eastAsia="仿宋_GB2312"/>
      <w:kern w:val="0"/>
      <w:sz w:val="28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character" w:customStyle="1" w:styleId="11">
    <w:name w:val="font3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">
    <w:name w:val="论文正文"/>
    <w:basedOn w:val="2"/>
    <w:next w:val="1"/>
    <w:qFormat/>
    <w:uiPriority w:val="0"/>
    <w:pPr>
      <w:spacing w:line="360" w:lineRule="auto"/>
      <w:ind w:firstLine="200" w:firstLineChars="200"/>
      <w:jc w:val="both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5807</Words>
  <Characters>6264</Characters>
  <Lines>0</Lines>
  <Paragraphs>0</Paragraphs>
  <TotalTime>29</TotalTime>
  <ScaleCrop>false</ScaleCrop>
  <LinksUpToDate>false</LinksUpToDate>
  <CharactersWithSpaces>6424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2022-04-06T07:45:00Z</dcterms:created>
  <dc:creator>DELL</dc:creator>
  <cp:lastModifiedBy>WPS_1725772562</cp:lastModifiedBy>
  <dcterms:modified xsi:type="dcterms:W3CDTF">2025-10-22T02:58:17Z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BD1AECD8235348678A4EC50706DF0787_13</vt:lpwstr>
  </property>
  <property fmtid="{D5CDD505-2E9C-101B-9397-08002B2CF9AE}" pid="4" name="KSOTemplateDocerSaveRecord">
    <vt:lpwstr>eyJoZGlkIjoiMzEwNTM5NzYwMDRjMzkwZTVkZjY2ODkwMGIxNGU0OTUiLCJ1c2VySWQiOiIxNjMyNDU1OTUzIn0=</vt:lpwstr>
  </property>
</Properties>
</file>