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jc w:val="center"/>
        <w:rPr>
          <w:rFonts w:ascii="宋体" w:hAnsi="宋体"/>
          <w:b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fldChar w:fldCharType="begin"/>
      </w:r>
      <w:r>
        <w:rPr>
          <w:rFonts w:hint="eastAsia" w:ascii="黑体" w:hAnsi="黑体" w:eastAsia="黑体"/>
          <w:kern w:val="0"/>
          <w:sz w:val="21"/>
          <w:szCs w:val="21"/>
        </w:rPr>
        <w:instrText xml:space="preserve"> HYPERLINK "http://www.uec.org.cn/index.php?g=Contest&amp;m=Subject&amp;a=index&amp;contest_id=5&amp;sub_id=37" </w:instrText>
      </w:r>
      <w:r>
        <w:rPr>
          <w:rFonts w:hint="eastAsia" w:ascii="黑体" w:hAnsi="黑体" w:eastAsia="黑体"/>
          <w:kern w:val="0"/>
          <w:sz w:val="21"/>
          <w:szCs w:val="21"/>
        </w:rPr>
        <w:fldChar w:fldCharType="separate"/>
      </w:r>
      <w:r>
        <w:rPr>
          <w:rFonts w:hint="eastAsia" w:ascii="黑体" w:hAnsi="黑体" w:eastAsia="黑体"/>
          <w:kern w:val="0"/>
          <w:sz w:val="21"/>
          <w:szCs w:val="21"/>
        </w:rPr>
        <w:t>“匠心·园丁情”教师创课大赛</w:t>
      </w:r>
      <w:r>
        <w:rPr>
          <w:rFonts w:hint="eastAsia" w:ascii="黑体" w:hAnsi="黑体" w:eastAsia="黑体"/>
          <w:kern w:val="0"/>
          <w:sz w:val="21"/>
          <w:szCs w:val="21"/>
        </w:rPr>
        <w:fldChar w:fldCharType="end"/>
      </w:r>
      <w:r>
        <w:rPr>
          <w:rFonts w:hint="eastAsia" w:ascii="黑体" w:hAnsi="黑体" w:eastAsia="黑体"/>
          <w:kern w:val="0"/>
          <w:sz w:val="21"/>
          <w:szCs w:val="21"/>
        </w:rPr>
        <w:t>决赛评分表</w:t>
      </w:r>
    </w:p>
    <w:tbl>
      <w:tblPr>
        <w:tblStyle w:val="4"/>
        <w:tblpPr w:leftFromText="180" w:rightFromText="180" w:vertAnchor="text" w:horzAnchor="page" w:tblpX="1342" w:tblpY="289"/>
        <w:tblOverlap w:val="never"/>
        <w:tblW w:w="9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279"/>
        <w:gridCol w:w="1242"/>
        <w:gridCol w:w="1579"/>
        <w:gridCol w:w="992"/>
        <w:gridCol w:w="851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队伍编号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学校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参赛队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233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项目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细则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项目</w:t>
            </w:r>
          </w:p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得分</w:t>
            </w:r>
          </w:p>
        </w:tc>
        <w:tc>
          <w:tcPr>
            <w:tcW w:w="106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54" w:type="dxa"/>
            <w:vMerge w:val="restart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说课技能展示及现场答辩</w:t>
            </w:r>
          </w:p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（9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2279" w:type="dxa"/>
            <w:vMerge w:val="restart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教学设计说明（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0%）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符合教学大纲，内容充实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教学目标明确，思路清晰，针对性强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文字表达准确、简洁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restart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说课技能展示（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0%）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实用性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生动性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PPT美观性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10分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课堂组织形式应该体现出部分翻转课堂或在线教学的课程设计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20分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54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227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现场答辩（2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%）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网络评比</w:t>
            </w:r>
          </w:p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2279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网络人气指数（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%）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954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ind w:firstLine="420" w:firstLineChars="2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</w:p>
        </w:tc>
        <w:tc>
          <w:tcPr>
            <w:tcW w:w="8009" w:type="dxa"/>
            <w:gridSpan w:val="6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560" w:lineRule="exact"/>
              <w:jc w:val="both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评审老师意见：</w:t>
            </w:r>
          </w:p>
          <w:p>
            <w:pPr>
              <w:widowControl/>
              <w:tabs>
                <w:tab w:val="left" w:pos="840"/>
              </w:tabs>
              <w:adjustRightInd w:val="0"/>
              <w:snapToGrid w:val="0"/>
              <w:spacing w:line="560" w:lineRule="exact"/>
              <w:ind w:firstLine="5670" w:firstLineChars="2700"/>
              <w:rPr>
                <w:rFonts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日期：</w:t>
            </w:r>
          </w:p>
        </w:tc>
      </w:tr>
    </w:tbl>
    <w:p>
      <w:pPr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2019-11-20T03:50:24Z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