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420" w:firstLineChars="200"/>
        <w:jc w:val="center"/>
        <w:textAlignment w:val="auto"/>
        <w:outlineLvl w:val="9"/>
        <w:rPr>
          <w:rFonts w:ascii="黑体" w:hAnsi="黑体" w:eastAsia="黑体"/>
          <w:kern w:val="0"/>
          <w:sz w:val="21"/>
          <w:szCs w:val="21"/>
        </w:rPr>
      </w:pPr>
      <w:r>
        <w:rPr>
          <w:rFonts w:hint="eastAsia" w:ascii="黑体" w:hAnsi="黑体" w:eastAsia="黑体"/>
          <w:kern w:val="0"/>
          <w:sz w:val="21"/>
          <w:szCs w:val="21"/>
        </w:rPr>
        <w:t>“匠心·民族魂”平面设计创新创意决赛评分表</w:t>
      </w:r>
    </w:p>
    <w:tbl>
      <w:tblPr>
        <w:tblStyle w:val="4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5"/>
        <w:gridCol w:w="1959"/>
        <w:gridCol w:w="1236"/>
        <w:gridCol w:w="2308"/>
        <w:gridCol w:w="850"/>
        <w:gridCol w:w="1134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队伍编号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</w:pP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作品名称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</w:pP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参赛队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项目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细则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分值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得分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作品演示与答辩 （9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8" w:right="0" w:rightChars="0" w:hanging="21" w:hangingChars="1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eastAsia="zh-CN"/>
              </w:rPr>
              <w:t>创新性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 w:firstLine="420" w:firstLineChars="20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主题表达形式新颖，构思独特、巧妙；作品具有想象力和个性表现力；内容、结构设计独到；作品创意独特、视觉吸引力的记忆力程度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  <w:jc w:val="center"/>
        </w:trPr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8" w:right="0" w:rightChars="0" w:hanging="21" w:hangingChars="1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eastAsia="zh-CN"/>
              </w:rPr>
              <w:t>视觉效果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 w:firstLine="420" w:firstLineChars="20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正确运用形、色、肌理、空间、明暗等美术语言、表达意境是否清晰；构图完整、合理、和谐，遵循艺术性与装饰性、趣味性与独创性、思想性与单一性、整体性与协调性等相统一的原则；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8" w:right="0" w:rightChars="0" w:hanging="21" w:hangingChars="1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eastAsia="zh-CN"/>
              </w:rPr>
              <w:t>主题贴合度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 w:firstLine="420" w:firstLineChars="20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与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eastAsia="zh-CN"/>
              </w:rPr>
              <w:t>主题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推广策略相关性、同品牌的主导定位符合程度、同品牌现发展阶段匹配度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eastAsia="zh-CN"/>
              </w:rPr>
              <w:t>；较好展现相关的文化背景与内含。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现场答辩的能力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陈述清晰，语言流畅，表达简洁有力。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4分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准确回答评委的问题，逻辑清晰、表述合理。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4分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着装得体，仪态端庄大方。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2分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网络评比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网络人气指数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84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评审老师意见：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 w:firstLine="4777" w:firstLineChars="2275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日期：</w:t>
            </w:r>
          </w:p>
        </w:tc>
      </w:tr>
    </w:tbl>
    <w:tbl>
      <w:tblPr>
        <w:tblStyle w:val="5"/>
        <w:tblpPr w:leftFromText="180" w:rightFromText="180" w:vertAnchor="text" w:tblpX="-1603" w:tblpY="-21949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ascii="仿宋_GB2312" w:hAnsi="宋体" w:eastAsia="仿宋_GB2312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ascii="仿宋_GB2312" w:eastAsia="仿宋_GB231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2019-11-20T03:46:05Z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