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方正小标宋简体"/>
          <w:sz w:val="36"/>
          <w:szCs w:val="32"/>
          <w:lang w:val="en-US" w:eastAsia="zh-CN"/>
        </w:rPr>
      </w:pPr>
      <w:r>
        <w:rPr>
          <w:rFonts w:hint="eastAsia" w:ascii="Times New Roman" w:hAnsi="Times New Roman" w:eastAsia="方正小标宋简体"/>
          <w:sz w:val="36"/>
          <w:szCs w:val="32"/>
        </w:rPr>
        <w:t xml:space="preserve"> </w:t>
      </w:r>
      <w:r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  <w:t>第五届全国应用型人才综合技能大赛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</w:pPr>
      <w:bookmarkStart w:id="0" w:name="OLE_LINK9"/>
      <w:bookmarkStart w:id="1" w:name="OLE_LINK3"/>
      <w:bookmarkStart w:id="2" w:name="OLE_LINK4"/>
      <w:r>
        <w:rPr>
          <w:rFonts w:hint="eastAsia" w:ascii="Times New Roman" w:hAnsi="Times New Roman" w:eastAsia="方正小标宋简体"/>
          <w:sz w:val="36"/>
          <w:szCs w:val="32"/>
        </w:rPr>
        <w:t>“奋斗新时代</w:t>
      </w:r>
      <w:r>
        <w:rPr>
          <w:rFonts w:hint="eastAsia" w:ascii="方正小标宋简体" w:hAnsi="方正小标宋简体" w:eastAsia="方正小标宋简体" w:cs="方正小标宋简体"/>
          <w:sz w:val="36"/>
          <w:szCs w:val="32"/>
        </w:rPr>
        <w:t>·</w:t>
      </w:r>
      <w:r>
        <w:rPr>
          <w:rFonts w:hint="eastAsia" w:ascii="Times New Roman" w:hAnsi="Times New Roman" w:eastAsia="方正小标宋简体"/>
          <w:sz w:val="36"/>
          <w:szCs w:val="32"/>
        </w:rPr>
        <w:t>光山杯”短视频大赛</w:t>
      </w:r>
      <w:bookmarkEnd w:id="0"/>
      <w:bookmarkEnd w:id="1"/>
      <w:bookmarkEnd w:id="2"/>
      <w:r>
        <w:rPr>
          <w:rFonts w:hint="eastAsia" w:ascii="Times New Roman" w:hAnsi="Times New Roman" w:eastAsia="方正小标宋简体"/>
          <w:sz w:val="36"/>
          <w:szCs w:val="32"/>
          <w:lang w:eastAsia="zh-CN"/>
        </w:rPr>
        <w:t>比赛</w:t>
      </w:r>
      <w:r>
        <w:rPr>
          <w:rFonts w:hint="eastAsia" w:ascii="Times New Roman" w:hAnsi="Times New Roman" w:eastAsia="方正小标宋简体"/>
          <w:sz w:val="36"/>
          <w:szCs w:val="32"/>
        </w:rPr>
        <w:t>说明</w:t>
      </w:r>
      <w:r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36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一、大赛宗旨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为贯彻落实《中国制造2025》以及新发布的《促进新一代人工智能产业发展三年行动计划（2018-2020年）》指示，以信息技术与制造技术深度融合为主线，以新一代人工智能技术的产业化和集成应用为重点，推进人工智能和制造业深度融合，加快制造强国和网络强国建设，促进新一代基于互联网开发人才的培养，特举办第五届全国应用型人才综合技能大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奋斗新时代·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光山杯”短视频大赛，为本届大赛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下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设分赛事，旨在发现、培养短视频制作优秀人才，促进光山全域旅游，巩固提升脱贫攻坚成效，促进乡村振兴。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kern w:val="0"/>
          <w:sz w:val="32"/>
          <w:szCs w:val="32"/>
        </w:rPr>
        <w:t>、参赛对象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全国全日制在校学生（包括大中专、本科、研究生），专业不限。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kern w:val="0"/>
          <w:sz w:val="32"/>
          <w:szCs w:val="32"/>
        </w:rPr>
        <w:t>、大赛形式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比赛为作品赛，参赛者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报名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后以提交作品的形式参赛，每个团队</w:t>
      </w: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1-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3名学生队员和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1-2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位指导老师组成。晋级全国总决赛的团队人员信息不能修改。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参赛队在指定时间内按要求完成短视频的录制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并上传到自己熟悉的短视频平台进行转发点赞，将完整的视频，作品申报表（附件），视频页面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截图（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带有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作品点赞量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以及转发数的页面）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以及其他相关文件，以压缩包的形式发送到组委会指定邮箱，压缩包以“院校名-队伍编号-项目名称”的方式命名。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作品点赞量的截止时间为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日15:00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超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过此时间点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视为放弃参赛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由专家评审委员会对参赛队伍提交的作品进行评审，并公布入围决赛的团队名单。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各参赛队把作品发送到如下指定邮箱，发错邮箱或重复发送视为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放弃参赛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</w:pPr>
    </w:p>
    <w:tbl>
      <w:tblPr>
        <w:tblStyle w:val="13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6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5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2019shipin1@uec.org.cn</w:t>
            </w:r>
          </w:p>
        </w:tc>
        <w:tc>
          <w:tcPr>
            <w:tcW w:w="5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北京市、天津市、河北省、山西省、内蒙古自治区、安徽省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2019shipin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@uec.org.cn</w:t>
            </w:r>
          </w:p>
        </w:tc>
        <w:tc>
          <w:tcPr>
            <w:tcW w:w="5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辽宁省、吉林省、黑龙江省、河南省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2019shipin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@uec.org.cn</w:t>
            </w:r>
          </w:p>
        </w:tc>
        <w:tc>
          <w:tcPr>
            <w:tcW w:w="5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上海市、江苏省、浙江省、福建省、江西省、山东省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2019shipin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@uec.org.cn</w:t>
            </w:r>
          </w:p>
        </w:tc>
        <w:tc>
          <w:tcPr>
            <w:tcW w:w="5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湖北省、湖南省、广东省、广西壮族自治区、海南省、四川省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2019shipin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@uec.org.cn</w:t>
            </w:r>
          </w:p>
        </w:tc>
        <w:tc>
          <w:tcPr>
            <w:tcW w:w="50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中宋" w:eastAsia="仿宋_GB2312"/>
                <w:kern w:val="0"/>
                <w:sz w:val="32"/>
                <w:szCs w:val="32"/>
                <w:lang w:eastAsia="zh-CN"/>
              </w:rPr>
              <w:t>贵州省、云南省、西藏自治区、重庆市、陕西省、甘肃省、青海省、宁夏回族自治区、新疆维吾尔自治区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参赛短视频内容必须健康向上，保证原创性，不违反中</w:t>
      </w:r>
      <w:bookmarkStart w:id="6" w:name="_GoBack"/>
      <w:r>
        <w:rPr>
          <w:rFonts w:hint="eastAsia" w:ascii="仿宋_GB2312" w:hAnsi="华文中宋" w:eastAsia="仿宋_GB2312"/>
          <w:kern w:val="0"/>
          <w:sz w:val="32"/>
          <w:szCs w:val="32"/>
        </w:rPr>
        <w:t>华人民共和国任何有关法律，不侵犯任何第三方之权利，一经发</w:t>
      </w:r>
      <w:bookmarkEnd w:id="6"/>
      <w:r>
        <w:rPr>
          <w:rFonts w:hint="eastAsia" w:ascii="仿宋_GB2312" w:hAnsi="华文中宋" w:eastAsia="仿宋_GB2312"/>
          <w:kern w:val="0"/>
          <w:sz w:val="32"/>
          <w:szCs w:val="32"/>
        </w:rPr>
        <w:t>现或经权利人指出，主办方将取消其参赛资格。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lang w:eastAsia="zh-CN"/>
        </w:rPr>
        <w:t>相关素材在大赛官网“竞赛专区”和“资料下载”处查看下载。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instrText xml:space="preserve"> HYPERLINK "http://www.guangshan.gov.cn/" </w:instrText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16"/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t>进入竞赛专区&gt;&gt;</w:t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instrText xml:space="preserve"> HYPERLINK "http://www.uec.org.cn/Contest/Index/article/id/205" </w:instrText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16"/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t>点击下载资料&gt;&gt;</w:t>
      </w:r>
      <w:r>
        <w:rPr>
          <w:rFonts w:hint="eastAsia" w:ascii="仿宋_GB2312" w:hAnsi="华文中宋" w:eastAsia="仿宋_GB2312"/>
          <w:color w:val="FF0000"/>
          <w:kern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kern w:val="0"/>
          <w:sz w:val="32"/>
          <w:szCs w:val="32"/>
        </w:rPr>
        <w:t>、大赛说明及评审方式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（一）大赛主题及内容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华文中宋" w:eastAsia="仿宋_GB2312"/>
          <w:b w:val="0"/>
          <w:sz w:val="32"/>
          <w:szCs w:val="32"/>
        </w:rPr>
      </w:pPr>
      <w:r>
        <w:rPr>
          <w:rFonts w:ascii="仿宋_GB2312" w:hAnsi="华文中宋" w:eastAsia="仿宋_GB2312"/>
          <w:b w:val="0"/>
          <w:sz w:val="32"/>
          <w:szCs w:val="32"/>
        </w:rPr>
        <w:t>主题为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“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智慧光山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·奋斗新时代</w:t>
      </w:r>
      <w:r>
        <w:rPr>
          <w:rFonts w:hint="eastAsia" w:ascii="仿宋_GB2312" w:hAnsi="华文中宋" w:eastAsia="仿宋_GB2312"/>
          <w:b w:val="0"/>
          <w:sz w:val="32"/>
          <w:szCs w:val="32"/>
        </w:rPr>
        <w:t>”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b w:val="0"/>
          <w:sz w:val="32"/>
          <w:szCs w:val="32"/>
        </w:rPr>
        <w:t>视频内容主要是“光山县风景、历史文化、风俗人情、脱贫攻坚等经济社会发展成就，光山县产业企业发展情况”等。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参考题材如下：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1.文化光山：优秀传统文化在我县的传承、发展与弘扬，包括红色文化、历史文化等。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2.乡村振兴：我县深入实施乡村振兴战略，在推进乡村产业兴旺、生态宜居、乡风文明、治理有效、生活富裕方面的生动实践。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640" w:firstLineChars="200"/>
        <w:jc w:val="left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3.光山人，光山事：具有“光山元素”及传播价值的好人好事、美食、方言、民俗文化、美景等。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 xml:space="preserve">（二）评委组成 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b w:val="0"/>
          <w:sz w:val="32"/>
          <w:szCs w:val="32"/>
          <w:lang w:val="en-US" w:eastAsia="zh-CN"/>
        </w:rPr>
        <w:t>1.</w:t>
      </w:r>
      <w:r>
        <w:rPr>
          <w:rFonts w:hint="eastAsia" w:ascii="仿宋_GB2312" w:hAnsi="华文中宋" w:eastAsia="仿宋_GB2312"/>
          <w:b w:val="0"/>
          <w:sz w:val="32"/>
          <w:szCs w:val="32"/>
        </w:rPr>
        <w:t>专家评审委员会</w:t>
      </w:r>
      <w:r>
        <w:rPr>
          <w:rFonts w:hint="eastAsia" w:ascii="仿宋_GB2312" w:hAnsi="华文中宋" w:eastAsia="仿宋_GB2312"/>
          <w:b w:val="0"/>
          <w:sz w:val="32"/>
          <w:szCs w:val="32"/>
          <w:lang w:eastAsia="zh-CN"/>
        </w:rPr>
        <w:t>；</w:t>
      </w:r>
    </w:p>
    <w:p>
      <w:pPr>
        <w:pStyle w:val="26"/>
        <w:widowControl w:val="0"/>
        <w:numPr>
          <w:ilvl w:val="0"/>
          <w:numId w:val="0"/>
        </w:numPr>
        <w:ind w:right="420" w:rightChars="0" w:firstLine="640" w:firstLineChars="200"/>
        <w:jc w:val="both"/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2.在线网友</w:t>
      </w:r>
      <w:r>
        <w:rPr>
          <w:rFonts w:hint="eastAsia" w:ascii="仿宋_GB2312" w:hAnsi="华文中宋" w:cs="Times New Roman"/>
          <w:b w:val="0"/>
          <w:kern w:val="0"/>
          <w:sz w:val="32"/>
          <w:szCs w:val="32"/>
          <w:lang w:val="en-US" w:eastAsia="zh-CN" w:bidi="ar-SA"/>
        </w:rPr>
        <w:t>。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（三）初赛评选标准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1.短视频项目要求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（1）短视频项目名称：自拟；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（2）短视频项目类型：故事、短片、歌舞、配音、高效、文艺</w:t>
      </w: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、文化、纪实等；</w:t>
      </w:r>
    </w:p>
    <w:p>
      <w:pPr>
        <w:pStyle w:val="2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华文中宋" w:eastAsia="仿宋_GB2312" w:cs="Times New Roman"/>
          <w:b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color w:val="auto"/>
          <w:kern w:val="0"/>
          <w:sz w:val="32"/>
          <w:szCs w:val="32"/>
          <w:highlight w:val="none"/>
          <w:lang w:val="en-US" w:eastAsia="zh-CN" w:bidi="ar-SA"/>
        </w:rPr>
        <w:t>（3）短视频发布平</w:t>
      </w: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台：抖音</w:t>
      </w:r>
      <w:r>
        <w:rPr>
          <w:rFonts w:hint="eastAsia" w:ascii="仿宋_GB2312" w:hAnsi="华文中宋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火山小视频、快手</w:t>
      </w:r>
      <w:r>
        <w:rPr>
          <w:rFonts w:hint="eastAsia" w:ascii="仿宋_GB2312" w:hAnsi="华文中宋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、腾讯、西瓜等</w:t>
      </w: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2.评分标准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（1）视频质量（10分）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bookmarkStart w:id="3" w:name="OLE_LINK16"/>
      <w:bookmarkStart w:id="4" w:name="OLE_LINK15"/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场景搭配、服装、素材、清晰度、拍摄手法、音频质量、字幕等后期制作以及综合质量。</w:t>
      </w:r>
      <w:bookmarkEnd w:id="3"/>
      <w:bookmarkEnd w:id="4"/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（2）视频时长（5分）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视频时长控制在5分钟以内，充分利用时间。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（3）视频内容（35分）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视频项目要求立意新颖、主题鲜明、格调高雅，具有思想性、故事性、艺术性、观赏性，能够表达完整的情节，以完整的展现光山文化。作品要符合相关法律法规要求，正能量充沛、主旋律高昂。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参赛作品必须为原创，严禁抄袭、剽窃他人作品，一经发现立即取消参评资格，如参赛作品涉及侵权等法律问题，由参赛者自行承担相关责任。</w:t>
      </w:r>
    </w:p>
    <w:p>
      <w:pPr>
        <w:spacing w:line="560" w:lineRule="exact"/>
        <w:ind w:firstLine="640" w:firstLineChars="200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（4）网络投票、点击率、热度（50分）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华文中宋" w:eastAsia="仿宋_GB2312" w:cs="Times New Roman"/>
          <w:b w:val="0"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-SA"/>
        </w:rPr>
        <w:t>大赛组委会将根据作品截图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shd w:val="clear" w:color="auto" w:fill="auto"/>
          <w:lang w:eastAsia="zh-CN"/>
        </w:rPr>
        <w:t>，并按照点赞量计算分数。</w:t>
      </w:r>
    </w:p>
    <w:p>
      <w:pPr>
        <w:pStyle w:val="27"/>
        <w:keepNext w:val="0"/>
        <w:keepLines w:val="0"/>
        <w:pageBreakBefore w:val="0"/>
        <w:numPr>
          <w:ilvl w:val="0"/>
          <w:numId w:val="0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outlineLvl w:val="9"/>
        <w:rPr>
          <w:rFonts w:hint="eastAsia" w:ascii="楷体_GB2312" w:hAnsi="华文中宋" w:eastAsia="楷体_GB2312"/>
          <w:b w:val="0"/>
          <w:sz w:val="32"/>
          <w:szCs w:val="32"/>
        </w:rPr>
      </w:pPr>
      <w:r>
        <w:rPr>
          <w:rFonts w:hint="eastAsia" w:ascii="楷体_GB2312" w:hAnsi="华文中宋" w:eastAsia="楷体_GB2312"/>
          <w:b w:val="0"/>
          <w:sz w:val="32"/>
          <w:szCs w:val="32"/>
        </w:rPr>
        <w:t>（</w:t>
      </w:r>
      <w:r>
        <w:rPr>
          <w:rFonts w:hint="eastAsia" w:ascii="楷体_GB2312" w:hAnsi="华文中宋" w:eastAsia="楷体_GB2312"/>
          <w:b w:val="0"/>
          <w:sz w:val="32"/>
          <w:szCs w:val="32"/>
          <w:lang w:eastAsia="zh-CN"/>
        </w:rPr>
        <w:t>四</w:t>
      </w:r>
      <w:r>
        <w:rPr>
          <w:rFonts w:hint="eastAsia" w:ascii="楷体_GB2312" w:hAnsi="华文中宋" w:eastAsia="楷体_GB2312"/>
          <w:b w:val="0"/>
          <w:sz w:val="32"/>
          <w:szCs w:val="32"/>
        </w:rPr>
        <w:t>）决赛评选标准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华文中宋" w:eastAsia="仿宋_GB2312" w:cs="Times New Roman"/>
          <w:b w:val="0"/>
          <w:kern w:val="0"/>
          <w:sz w:val="32"/>
          <w:szCs w:val="32"/>
          <w:lang w:val="en-US" w:eastAsia="zh-CN" w:bidi="ar-SA"/>
        </w:rPr>
        <w:t>决赛环节根据作品的演示答辩进行评分，分为演示环节打分、提问打分，并结合初赛排名成绩综合确定决赛成绩（届时公布详细评分标准）。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kern w:val="0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华文中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lang w:val="en-US" w:eastAsia="zh-CN"/>
        </w:rPr>
        <w:t>(1）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</w:rPr>
        <w:t>本项赛事设全国一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lang w:val="en-US" w:eastAsia="zh-CN"/>
        </w:rPr>
        <w:t xml:space="preserve"> 二，三等奖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</w:rPr>
        <w:t>若干名（视实际参赛规模而定），并根据各校报名和获奖情况，面向各组织单位颁发组织奖，面向指导老师颁发优秀指导教师奖等。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(2）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设立奖项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一等奖：奖杯+获奖证书+奖金5000元/组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二等奖：奖牌+获奖证书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三等奖：获奖证书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kern w:val="0"/>
          <w:sz w:val="32"/>
          <w:szCs w:val="32"/>
        </w:rPr>
        <w:t>、附注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大赛流程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提交回执：201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9月2日-10月20日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在线报名：201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日-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val="en-US" w:eastAsia="zh-CN"/>
        </w:rPr>
        <w:t>初赛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网络投票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201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日9：00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华文中宋" w:eastAsia="仿宋_GB2312"/>
          <w:color w:val="auto"/>
          <w:kern w:val="0"/>
          <w:sz w:val="32"/>
          <w:szCs w:val="32"/>
          <w:highlight w:val="none"/>
        </w:rPr>
        <w:t>日15:00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作品提交：201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日-1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作品初审：201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 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日-1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公布决赛名单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201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华文中宋" w:eastAsia="仿宋_GB2312"/>
          <w:kern w:val="0"/>
          <w:sz w:val="32"/>
          <w:szCs w:val="32"/>
          <w:highlight w:val="none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现场决赛：201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tabs>
          <w:tab w:val="left" w:pos="840"/>
        </w:tabs>
        <w:spacing w:line="560" w:lineRule="exact"/>
        <w:ind w:firstLine="640" w:firstLineChars="200"/>
        <w:rPr>
          <w:rFonts w:hint="eastAsia" w:ascii="仿宋_GB2312" w:hAnsi="华文中宋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颁奖典礼：201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年1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月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2.联系方式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组委会：王秀秀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电话：010-66083178  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邮箱：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>dasai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@uec.org.cn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仿宋_GB2312" w:hAnsi="华文中宋" w:eastAsia="仿宋_GB2312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华文中宋" w:eastAsia="仿宋_GB2312"/>
          <w:kern w:val="0"/>
          <w:sz w:val="32"/>
          <w:szCs w:val="32"/>
        </w:rPr>
      </w:pPr>
      <w:r>
        <w:rPr>
          <w:rFonts w:hint="eastAsia" w:ascii="仿宋_GB2312" w:hAnsi="华文中宋" w:eastAsia="仿宋_GB2312"/>
          <w:kern w:val="0"/>
          <w:sz w:val="32"/>
          <w:szCs w:val="32"/>
        </w:rPr>
        <w:t>及时了解岗位证书、产教融合、就业创业、大赛动态，请扫描下方二维码。</w:t>
      </w:r>
    </w:p>
    <w:p>
      <w:pPr>
        <w:widowControl/>
        <w:spacing w:line="560" w:lineRule="exact"/>
        <w:ind w:firstLine="630" w:firstLineChars="300"/>
        <w:rPr>
          <w:rFonts w:ascii="仿宋_GB2312" w:hAnsi="华文中宋" w:eastAsia="仿宋_GB2312"/>
          <w:kern w:val="0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华文中宋" w:eastAsia="仿宋_GB2312"/>
          <w:kern w:val="0"/>
          <w:sz w:val="32"/>
          <w:szCs w:val="32"/>
        </w:rPr>
        <w:t xml:space="preserve">岗位认证        </w:t>
      </w:r>
      <w:r>
        <w:rPr>
          <w:rFonts w:hint="eastAsia" w:ascii="仿宋_GB2312" w:hAnsi="华文中宋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kern w:val="0"/>
          <w:sz w:val="32"/>
          <w:szCs w:val="32"/>
        </w:rPr>
        <w:t>就业创业平台         大赛动态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145415</wp:posOffset>
            </wp:positionV>
            <wp:extent cx="970915" cy="970915"/>
            <wp:effectExtent l="0" t="0" r="635" b="63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131445</wp:posOffset>
            </wp:positionV>
            <wp:extent cx="1133475" cy="1133475"/>
            <wp:effectExtent l="0" t="0" r="9525" b="9525"/>
            <wp:wrapNone/>
            <wp:docPr id="5" name="图片 5" descr="万企岗位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万企岗位小程序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both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32"/>
          <w:szCs w:val="32"/>
        </w:rPr>
        <w:t>附件：“奋斗新时代·光山杯”短视频大赛作</w:t>
      </w:r>
      <w:r>
        <w:rPr>
          <w:rFonts w:hint="eastAsia" w:ascii="黑体" w:hAnsi="黑体" w:eastAsia="黑体"/>
          <w:sz w:val="32"/>
          <w:szCs w:val="32"/>
        </w:rPr>
        <w:t>品申报表</w:t>
      </w:r>
    </w:p>
    <w:tbl>
      <w:tblPr>
        <w:tblStyle w:val="12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98"/>
        <w:gridCol w:w="1296"/>
        <w:gridCol w:w="2325"/>
        <w:gridCol w:w="108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4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队伍编号</w:t>
            </w:r>
          </w:p>
        </w:tc>
        <w:tc>
          <w:tcPr>
            <w:tcW w:w="569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作品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平台名称及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视频账号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eastAsia="zh-CN"/>
              </w:rPr>
              <w:t>如：抖音账号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101480777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（此处加盖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院系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3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exac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bookmarkStart w:id="5" w:name="主题词"/>
            <w:bookmarkEnd w:id="5"/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品简介</w:t>
            </w:r>
          </w:p>
        </w:tc>
        <w:tc>
          <w:tcPr>
            <w:tcW w:w="748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拍摄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背景、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视频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说明等，字数不超过1000字）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textAlignment w:val="auto"/>
        <w:outlineLvl w:val="9"/>
        <w:rPr>
          <w:rFonts w:ascii="仿宋_GB2312" w:hAnsi="华文中宋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306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B46C0"/>
    <w:multiLevelType w:val="singleLevel"/>
    <w:tmpl w:val="8F6B46C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F3E538B"/>
    <w:multiLevelType w:val="multilevel"/>
    <w:tmpl w:val="1F3E538B"/>
    <w:lvl w:ilvl="0" w:tentative="0">
      <w:start w:val="3"/>
      <w:numFmt w:val="decimal"/>
      <w:pStyle w:val="26"/>
      <w:suff w:val="space"/>
      <w:lvlText w:val="第%1章 "/>
      <w:lvlJc w:val="left"/>
      <w:pPr>
        <w:ind w:left="0" w:firstLine="0"/>
      </w:pPr>
      <w:rPr>
        <w:rFonts w:hint="default" w:ascii="Arial" w:hAnsi="Arial"/>
        <w:b w:val="0"/>
        <w:i w:val="0"/>
        <w:sz w:val="48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hint="default" w:ascii="Arial" w:hAnsi="Arial"/>
        <w:b w:val="0"/>
        <w:i w:val="0"/>
        <w:sz w:val="32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hint="default" w:ascii="Arial" w:hAnsi="Arial"/>
        <w:sz w:val="28"/>
      </w:rPr>
    </w:lvl>
    <w:lvl w:ilvl="3" w:tentative="0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55F6735D"/>
    <w:multiLevelType w:val="singleLevel"/>
    <w:tmpl w:val="55F6735D"/>
    <w:lvl w:ilvl="0" w:tentative="0">
      <w:start w:val="1"/>
      <w:numFmt w:val="bullet"/>
      <w:pStyle w:val="27"/>
      <w:lvlText w:val=""/>
      <w:lvlJc w:val="left"/>
      <w:pPr>
        <w:tabs>
          <w:tab w:val="left" w:pos="993"/>
        </w:tabs>
        <w:ind w:left="993" w:hanging="425"/>
      </w:pPr>
      <w:rPr>
        <w:rFonts w:hint="default"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783D"/>
    <w:rsid w:val="00041AC7"/>
    <w:rsid w:val="00056293"/>
    <w:rsid w:val="00075CED"/>
    <w:rsid w:val="00076834"/>
    <w:rsid w:val="000C5FE2"/>
    <w:rsid w:val="000F1F24"/>
    <w:rsid w:val="00110956"/>
    <w:rsid w:val="001139B2"/>
    <w:rsid w:val="00122293"/>
    <w:rsid w:val="00127E2C"/>
    <w:rsid w:val="00145D89"/>
    <w:rsid w:val="001B0843"/>
    <w:rsid w:val="001E783D"/>
    <w:rsid w:val="00215E63"/>
    <w:rsid w:val="002200AC"/>
    <w:rsid w:val="00225E51"/>
    <w:rsid w:val="0025011F"/>
    <w:rsid w:val="002C1664"/>
    <w:rsid w:val="002C453B"/>
    <w:rsid w:val="002C4559"/>
    <w:rsid w:val="002F0C29"/>
    <w:rsid w:val="002F437E"/>
    <w:rsid w:val="0030615B"/>
    <w:rsid w:val="003173DA"/>
    <w:rsid w:val="00327EA0"/>
    <w:rsid w:val="00333838"/>
    <w:rsid w:val="00352342"/>
    <w:rsid w:val="00373924"/>
    <w:rsid w:val="003C187E"/>
    <w:rsid w:val="003D6F27"/>
    <w:rsid w:val="003F0326"/>
    <w:rsid w:val="004944DE"/>
    <w:rsid w:val="004B21BA"/>
    <w:rsid w:val="004C7364"/>
    <w:rsid w:val="004D7D64"/>
    <w:rsid w:val="00500FFC"/>
    <w:rsid w:val="00515891"/>
    <w:rsid w:val="00526716"/>
    <w:rsid w:val="005922E2"/>
    <w:rsid w:val="005C1B83"/>
    <w:rsid w:val="005D5B0E"/>
    <w:rsid w:val="005F52C0"/>
    <w:rsid w:val="006302D8"/>
    <w:rsid w:val="00647ED9"/>
    <w:rsid w:val="00656C37"/>
    <w:rsid w:val="00665BB3"/>
    <w:rsid w:val="006949A1"/>
    <w:rsid w:val="00696E6A"/>
    <w:rsid w:val="006F00D4"/>
    <w:rsid w:val="00707C86"/>
    <w:rsid w:val="00724881"/>
    <w:rsid w:val="007B0750"/>
    <w:rsid w:val="00803DB1"/>
    <w:rsid w:val="00823828"/>
    <w:rsid w:val="008278B1"/>
    <w:rsid w:val="008468F6"/>
    <w:rsid w:val="00863660"/>
    <w:rsid w:val="0086690D"/>
    <w:rsid w:val="008C7C33"/>
    <w:rsid w:val="008C7F3D"/>
    <w:rsid w:val="008D6968"/>
    <w:rsid w:val="008F58D0"/>
    <w:rsid w:val="009238C8"/>
    <w:rsid w:val="00925733"/>
    <w:rsid w:val="009462FF"/>
    <w:rsid w:val="00967EE3"/>
    <w:rsid w:val="009A5EB1"/>
    <w:rsid w:val="009B565A"/>
    <w:rsid w:val="009D7FB1"/>
    <w:rsid w:val="009F29C4"/>
    <w:rsid w:val="00A045D2"/>
    <w:rsid w:val="00A56FFA"/>
    <w:rsid w:val="00A96D01"/>
    <w:rsid w:val="00AC3CA9"/>
    <w:rsid w:val="00B119BF"/>
    <w:rsid w:val="00B139CF"/>
    <w:rsid w:val="00B61458"/>
    <w:rsid w:val="00B67FDB"/>
    <w:rsid w:val="00B77D9E"/>
    <w:rsid w:val="00BA6904"/>
    <w:rsid w:val="00BD580C"/>
    <w:rsid w:val="00C03953"/>
    <w:rsid w:val="00C1236A"/>
    <w:rsid w:val="00C66EAD"/>
    <w:rsid w:val="00C802ED"/>
    <w:rsid w:val="00C864ED"/>
    <w:rsid w:val="00C92425"/>
    <w:rsid w:val="00CA3063"/>
    <w:rsid w:val="00CA41F3"/>
    <w:rsid w:val="00CB4694"/>
    <w:rsid w:val="00D2287D"/>
    <w:rsid w:val="00D57FBA"/>
    <w:rsid w:val="00D87899"/>
    <w:rsid w:val="00E1421F"/>
    <w:rsid w:val="00E16E90"/>
    <w:rsid w:val="00E35033"/>
    <w:rsid w:val="00E96758"/>
    <w:rsid w:val="00EC07B5"/>
    <w:rsid w:val="00EC7ACB"/>
    <w:rsid w:val="00ED52DE"/>
    <w:rsid w:val="00F04366"/>
    <w:rsid w:val="00F25400"/>
    <w:rsid w:val="00F63344"/>
    <w:rsid w:val="00F829C2"/>
    <w:rsid w:val="00F96237"/>
    <w:rsid w:val="00FA5970"/>
    <w:rsid w:val="00FC3D91"/>
    <w:rsid w:val="01AF3C04"/>
    <w:rsid w:val="03996F91"/>
    <w:rsid w:val="045B7099"/>
    <w:rsid w:val="0672639E"/>
    <w:rsid w:val="0AE9716D"/>
    <w:rsid w:val="0D4C27C6"/>
    <w:rsid w:val="0F87138F"/>
    <w:rsid w:val="1116301E"/>
    <w:rsid w:val="175C4FDE"/>
    <w:rsid w:val="1CFE6EE3"/>
    <w:rsid w:val="1EFF6449"/>
    <w:rsid w:val="27C578AD"/>
    <w:rsid w:val="28696E4B"/>
    <w:rsid w:val="2EA2447F"/>
    <w:rsid w:val="2F200EC8"/>
    <w:rsid w:val="31D30CDD"/>
    <w:rsid w:val="32A43996"/>
    <w:rsid w:val="33100BB3"/>
    <w:rsid w:val="356D4F98"/>
    <w:rsid w:val="35EB46EE"/>
    <w:rsid w:val="37003012"/>
    <w:rsid w:val="382272F3"/>
    <w:rsid w:val="38741FA2"/>
    <w:rsid w:val="3BF83814"/>
    <w:rsid w:val="3D230482"/>
    <w:rsid w:val="451665E5"/>
    <w:rsid w:val="470945D3"/>
    <w:rsid w:val="47FA7A9B"/>
    <w:rsid w:val="4DF93D36"/>
    <w:rsid w:val="520B0BC0"/>
    <w:rsid w:val="556312B9"/>
    <w:rsid w:val="56CE167B"/>
    <w:rsid w:val="59BE26BD"/>
    <w:rsid w:val="59F473BF"/>
    <w:rsid w:val="5AB31555"/>
    <w:rsid w:val="5C6F005E"/>
    <w:rsid w:val="5D78375A"/>
    <w:rsid w:val="6331700A"/>
    <w:rsid w:val="65F564DE"/>
    <w:rsid w:val="665468DB"/>
    <w:rsid w:val="68E4285A"/>
    <w:rsid w:val="68FB0AE3"/>
    <w:rsid w:val="6AE40CC2"/>
    <w:rsid w:val="6C597793"/>
    <w:rsid w:val="6CB91F36"/>
    <w:rsid w:val="6F9415B6"/>
    <w:rsid w:val="717519C4"/>
    <w:rsid w:val="728809EB"/>
    <w:rsid w:val="76892F24"/>
    <w:rsid w:val="772C10E0"/>
    <w:rsid w:val="789E3B4C"/>
    <w:rsid w:val="7925454A"/>
    <w:rsid w:val="79796B1B"/>
    <w:rsid w:val="799C013A"/>
    <w:rsid w:val="7A040708"/>
    <w:rsid w:val="7A3A573E"/>
    <w:rsid w:val="7CEA6CE4"/>
    <w:rsid w:val="7D196438"/>
    <w:rsid w:val="7EA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hd w:val="pct10" w:color="auto" w:fill="FFFFFF"/>
      <w:tabs>
        <w:tab w:val="left" w:pos="1985"/>
      </w:tabs>
      <w:outlineLvl w:val="0"/>
    </w:pPr>
    <w:rPr>
      <w:rFonts w:ascii="Arial" w:hAnsi="Arial" w:eastAsia="黑体"/>
      <w:kern w:val="0"/>
      <w:sz w:val="48"/>
    </w:rPr>
  </w:style>
  <w:style w:type="paragraph" w:styleId="3">
    <w:name w:val="heading 2"/>
    <w:basedOn w:val="1"/>
    <w:next w:val="4"/>
    <w:link w:val="19"/>
    <w:qFormat/>
    <w:uiPriority w:val="0"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4"/>
    <w:link w:val="20"/>
    <w:qFormat/>
    <w:uiPriority w:val="0"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hAnsi="Arial" w:eastAsia="黑体"/>
      <w:sz w:val="28"/>
    </w:rPr>
  </w:style>
  <w:style w:type="paragraph" w:styleId="6">
    <w:name w:val="heading 4"/>
    <w:basedOn w:val="1"/>
    <w:next w:val="4"/>
    <w:link w:val="21"/>
    <w:qFormat/>
    <w:uiPriority w:val="0"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hAnsi="Arial" w:eastAsia="黑体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Body Text Indent"/>
    <w:basedOn w:val="1"/>
    <w:link w:val="29"/>
    <w:qFormat/>
    <w:uiPriority w:val="0"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8">
    <w:name w:val="标题 1 Char"/>
    <w:basedOn w:val="14"/>
    <w:link w:val="2"/>
    <w:qFormat/>
    <w:uiPriority w:val="0"/>
    <w:rPr>
      <w:rFonts w:ascii="Arial" w:hAnsi="Arial" w:eastAsia="黑体"/>
      <w:sz w:val="48"/>
      <w:shd w:val="pct10" w:color="auto" w:fill="FFFFFF"/>
      <w:lang w:val="en-US" w:eastAsia="zh-CN"/>
    </w:rPr>
  </w:style>
  <w:style w:type="character" w:customStyle="1" w:styleId="19">
    <w:name w:val="标题 2 Char"/>
    <w:basedOn w:val="14"/>
    <w:link w:val="3"/>
    <w:qFormat/>
    <w:uiPriority w:val="0"/>
    <w:rPr>
      <w:rFonts w:ascii="Arial" w:hAnsi="Arial" w:eastAsia="黑体"/>
      <w:kern w:val="2"/>
      <w:sz w:val="32"/>
      <w:shd w:val="pct10" w:color="auto" w:fill="FFFFFF"/>
    </w:rPr>
  </w:style>
  <w:style w:type="character" w:customStyle="1" w:styleId="20">
    <w:name w:val="标题 3 Char"/>
    <w:basedOn w:val="14"/>
    <w:link w:val="5"/>
    <w:qFormat/>
    <w:uiPriority w:val="0"/>
    <w:rPr>
      <w:rFonts w:ascii="Arial" w:hAnsi="Arial" w:eastAsia="黑体"/>
      <w:kern w:val="2"/>
      <w:sz w:val="28"/>
    </w:rPr>
  </w:style>
  <w:style w:type="character" w:customStyle="1" w:styleId="21">
    <w:name w:val="标题 4 Char"/>
    <w:basedOn w:val="14"/>
    <w:link w:val="6"/>
    <w:qFormat/>
    <w:uiPriority w:val="0"/>
    <w:rPr>
      <w:rFonts w:ascii="Arial" w:hAnsi="Arial" w:eastAsia="黑体"/>
      <w:kern w:val="2"/>
      <w:sz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4"/>
    <w:link w:val="9"/>
    <w:qFormat/>
    <w:uiPriority w:val="99"/>
    <w:rPr>
      <w:kern w:val="2"/>
      <w:sz w:val="18"/>
      <w:szCs w:val="18"/>
    </w:rPr>
  </w:style>
  <w:style w:type="character" w:customStyle="1" w:styleId="25">
    <w:name w:val="内容罗列 Char"/>
    <w:link w:val="26"/>
    <w:qFormat/>
    <w:uiPriority w:val="0"/>
    <w:rPr>
      <w:rFonts w:eastAsia="仿宋_GB2312"/>
    </w:rPr>
  </w:style>
  <w:style w:type="paragraph" w:customStyle="1" w:styleId="26">
    <w:name w:val="内容罗列"/>
    <w:basedOn w:val="1"/>
    <w:link w:val="25"/>
    <w:qFormat/>
    <w:uiPriority w:val="0"/>
    <w:pPr>
      <w:numPr>
        <w:ilvl w:val="0"/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hAnsi="Times New Roman" w:eastAsia="仿宋_GB2312"/>
      <w:kern w:val="0"/>
      <w:sz w:val="20"/>
      <w:szCs w:val="20"/>
    </w:rPr>
  </w:style>
  <w:style w:type="paragraph" w:customStyle="1" w:styleId="27">
    <w:name w:val="内容标题"/>
    <w:basedOn w:val="1"/>
    <w:next w:val="26"/>
    <w:qFormat/>
    <w:uiPriority w:val="0"/>
    <w:pPr>
      <w:numPr>
        <w:ilvl w:val="0"/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28">
    <w:name w:val="批注框文本 Char"/>
    <w:basedOn w:val="14"/>
    <w:link w:val="8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9">
    <w:name w:val="正文文本缩进 Char"/>
    <w:link w:val="7"/>
    <w:qFormat/>
    <w:uiPriority w:val="0"/>
    <w:rPr>
      <w:kern w:val="2"/>
      <w:sz w:val="28"/>
    </w:rPr>
  </w:style>
  <w:style w:type="character" w:customStyle="1" w:styleId="30">
    <w:name w:val="正文文本缩进 Char1"/>
    <w:basedOn w:val="14"/>
    <w:semiHidden/>
    <w:qFormat/>
    <w:uiPriority w:val="99"/>
    <w:rPr>
      <w:rFonts w:ascii="Calibri" w:hAnsi="Calibri"/>
      <w:kern w:val="2"/>
      <w:sz w:val="21"/>
      <w:szCs w:val="22"/>
    </w:rPr>
  </w:style>
  <w:style w:type="paragraph" w:customStyle="1" w:styleId="31">
    <w:name w:val="列出段落2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customStyle="1" w:styleId="32">
    <w:name w:val="无间隔1"/>
    <w:qFormat/>
    <w:uiPriority w:val="1"/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zh-CN" w:eastAsia="zh-CN" w:bidi="ar-SA"/>
    </w:rPr>
  </w:style>
  <w:style w:type="paragraph" w:customStyle="1" w:styleId="33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F7C57-3296-47B6-9B4A-50BF47072F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574</Words>
  <Characters>3274</Characters>
  <Lines>27</Lines>
  <Paragraphs>7</Paragraphs>
  <TotalTime>17</TotalTime>
  <ScaleCrop>false</ScaleCrop>
  <LinksUpToDate>false</LinksUpToDate>
  <CharactersWithSpaces>3841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2017-06-06T12:23:00Z</dcterms:created>
  <dc:creator>admin</dc:creator>
  <cp:lastModifiedBy>T.T</cp:lastModifiedBy>
  <dcterms:modified xsi:type="dcterms:W3CDTF">2019-09-25T03:19:25Z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